
<file path=[Content_Types].xml><?xml version="1.0" encoding="utf-8"?>
<Types xmlns="http://schemas.openxmlformats.org/package/2006/content-types">
  <Default Extension="xml" ContentType="application/xml"/>
  <Default Extension="wmf" ContentType="image/x-wmf"/>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楷体" w:hAnsi="楷体" w:eastAsia="楷体" w:cs="楷体"/>
          <w:b/>
          <w:bCs/>
          <w:color w:val="000000" w:themeColor="text1"/>
          <w:sz w:val="48"/>
          <w:szCs w:val="48"/>
          <w:lang w:val="en-US" w:eastAsia="zh-CN"/>
        </w:rPr>
      </w:pPr>
      <w:r>
        <w:rPr>
          <w:rFonts w:hint="eastAsia" w:ascii="楷体" w:hAnsi="楷体" w:eastAsia="楷体" w:cs="楷体"/>
          <w:b/>
          <w:bCs/>
          <w:color w:val="000000" w:themeColor="text1"/>
          <w:sz w:val="48"/>
          <w:szCs w:val="48"/>
          <w:lang w:val="en-US" w:eastAsia="zh-CN"/>
        </w:rPr>
        <w:t>内蒙古大青山太伟度假村产权式酒店</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宋体" w:hAnsi="宋体" w:eastAsia="宋体" w:cs="宋体"/>
          <w:b w:val="0"/>
          <w:bCs w:val="0"/>
          <w:color w:val="000000" w:themeColor="text1"/>
          <w:sz w:val="48"/>
          <w:szCs w:val="48"/>
          <w:lang w:val="en-US" w:eastAsia="zh-CN"/>
        </w:rPr>
      </w:pPr>
      <w:r>
        <w:rPr>
          <w:rFonts w:hint="eastAsia" w:ascii="楷体" w:hAnsi="楷体" w:eastAsia="楷体" w:cs="楷体"/>
          <w:b/>
          <w:bCs/>
          <w:color w:val="000000" w:themeColor="text1"/>
          <w:sz w:val="48"/>
          <w:szCs w:val="48"/>
          <w:lang w:val="en-US" w:eastAsia="zh-CN"/>
        </w:rPr>
        <w:t>一期</w:t>
      </w:r>
      <w:r>
        <w:rPr>
          <w:rFonts w:hint="eastAsia" w:ascii="楷体" w:hAnsi="楷体" w:eastAsia="楷体" w:cs="楷体"/>
          <w:b/>
          <w:bCs/>
          <w:color w:val="000000"/>
          <w:sz w:val="48"/>
          <w:szCs w:val="48"/>
          <w:shd w:val="clear" w:color="auto" w:fill="auto"/>
        </w:rPr>
        <w:t>工程</w:t>
      </w:r>
    </w:p>
    <w:p>
      <w:pPr>
        <w:keepNext w:val="0"/>
        <w:keepLines w:val="0"/>
        <w:pageBreakBefore w:val="0"/>
        <w:widowControl w:val="0"/>
        <w:kinsoku/>
        <w:wordWrap/>
        <w:overflowPunct/>
        <w:topLinePunct w:val="0"/>
        <w:autoSpaceDE/>
        <w:autoSpaceDN/>
        <w:bidi w:val="0"/>
        <w:adjustRightInd/>
        <w:snapToGrid/>
        <w:spacing w:line="720" w:lineRule="auto"/>
        <w:ind w:left="0" w:leftChars="0" w:right="0" w:rightChars="0" w:firstLine="0" w:firstLineChars="0"/>
        <w:jc w:val="center"/>
        <w:textAlignment w:val="auto"/>
        <w:outlineLvl w:val="9"/>
        <w:rPr>
          <w:rFonts w:hint="eastAsia" w:ascii="楷体" w:hAnsi="楷体" w:eastAsia="楷体" w:cs="楷体"/>
          <w:b/>
          <w:bCs/>
          <w:color w:val="000000"/>
          <w:sz w:val="52"/>
          <w:szCs w:val="52"/>
          <w:shd w:val="clear" w:color="auto" w:fill="auto"/>
          <w:lang w:eastAsia="zh-CN"/>
        </w:rPr>
      </w:pPr>
    </w:p>
    <w:p>
      <w:pPr>
        <w:keepNext w:val="0"/>
        <w:keepLines w:val="0"/>
        <w:pageBreakBefore w:val="0"/>
        <w:widowControl w:val="0"/>
        <w:kinsoku/>
        <w:wordWrap/>
        <w:overflowPunct/>
        <w:topLinePunct w:val="0"/>
        <w:autoSpaceDE/>
        <w:autoSpaceDN/>
        <w:bidi w:val="0"/>
        <w:adjustRightInd/>
        <w:snapToGrid/>
        <w:spacing w:line="720" w:lineRule="auto"/>
        <w:ind w:left="0" w:leftChars="0" w:right="0" w:rightChars="0" w:firstLine="0" w:firstLineChars="0"/>
        <w:jc w:val="center"/>
        <w:textAlignment w:val="auto"/>
        <w:outlineLvl w:val="9"/>
        <w:rPr>
          <w:rFonts w:hint="eastAsia" w:ascii="楷体" w:hAnsi="楷体" w:eastAsia="楷体" w:cs="楷体"/>
          <w:color w:val="000000" w:themeColor="text1"/>
          <w:sz w:val="52"/>
          <w:szCs w:val="52"/>
          <w:shd w:val="clear" w:color="auto" w:fill="auto"/>
          <w:lang w:eastAsia="zh-CN"/>
        </w:rPr>
      </w:pPr>
      <w:r>
        <w:rPr>
          <w:rFonts w:hint="eastAsia" w:ascii="楷体" w:hAnsi="楷体" w:eastAsia="楷体" w:cs="楷体"/>
          <w:b/>
          <w:bCs/>
          <w:color w:val="000000"/>
          <w:sz w:val="52"/>
          <w:szCs w:val="52"/>
          <w:shd w:val="clear" w:color="auto" w:fill="auto"/>
          <w:lang w:eastAsia="zh-CN"/>
        </w:rPr>
        <w:t>竣工环境</w:t>
      </w:r>
      <w:r>
        <w:rPr>
          <w:rFonts w:hint="eastAsia" w:ascii="楷体" w:hAnsi="楷体" w:eastAsia="楷体" w:cs="楷体"/>
          <w:b/>
          <w:bCs/>
          <w:color w:val="000000" w:themeColor="text1"/>
          <w:sz w:val="52"/>
          <w:szCs w:val="52"/>
          <w:shd w:val="clear" w:color="auto" w:fill="auto"/>
          <w:lang w:eastAsia="zh-CN"/>
        </w:rPr>
        <w:t>保护验收调查报告</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 w:hAnsi="楷体" w:eastAsia="楷体" w:cs="楷体"/>
          <w:color w:val="000000" w:themeColor="text1"/>
          <w:sz w:val="28"/>
          <w:szCs w:val="28"/>
          <w:shd w:val="clear" w:color="auto" w:fill="auto"/>
          <w:lang w:eastAsia="zh-CN"/>
        </w:rPr>
      </w:pPr>
      <w:r>
        <w:rPr>
          <w:rFonts w:hint="eastAsia" w:ascii="楷体" w:hAnsi="楷体" w:eastAsia="楷体" w:cs="楷体"/>
          <w:b/>
          <w:bCs/>
          <w:color w:val="000000" w:themeColor="text1"/>
          <w:sz w:val="52"/>
          <w:szCs w:val="52"/>
          <w:lang w:val="en-US" w:eastAsia="zh-CN"/>
        </w:rPr>
        <w:drawing>
          <wp:anchor distT="0" distB="0" distL="114935" distR="114935" simplePos="0" relativeHeight="251671552" behindDoc="1" locked="0" layoutInCell="1" allowOverlap="1">
            <wp:simplePos x="0" y="0"/>
            <wp:positionH relativeFrom="column">
              <wp:posOffset>-60325</wp:posOffset>
            </wp:positionH>
            <wp:positionV relativeFrom="paragraph">
              <wp:posOffset>274320</wp:posOffset>
            </wp:positionV>
            <wp:extent cx="5253990" cy="3502660"/>
            <wp:effectExtent l="0" t="0" r="3810" b="2540"/>
            <wp:wrapNone/>
            <wp:docPr id="18" name="图片 18"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无标题"/>
                    <pic:cNvPicPr>
                      <a:picLocks noChangeAspect="1"/>
                    </pic:cNvPicPr>
                  </pic:nvPicPr>
                  <pic:blipFill>
                    <a:blip r:embed="rId6"/>
                    <a:stretch>
                      <a:fillRect/>
                    </a:stretch>
                  </pic:blipFill>
                  <pic:spPr>
                    <a:xfrm>
                      <a:off x="0" y="0"/>
                      <a:ext cx="5253990" cy="350266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720" w:lineRule="auto"/>
        <w:ind w:left="0" w:leftChars="0" w:right="0" w:rightChars="0" w:firstLine="0" w:firstLineChars="0"/>
        <w:jc w:val="both"/>
        <w:textAlignment w:val="auto"/>
        <w:outlineLvl w:val="9"/>
        <w:rPr>
          <w:rFonts w:hint="eastAsia" w:ascii="楷体" w:hAnsi="楷体" w:eastAsia="楷体" w:cs="楷体"/>
          <w:b/>
          <w:bCs/>
          <w:color w:val="000000" w:themeColor="text1"/>
          <w:sz w:val="44"/>
          <w:szCs w:val="4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 w:hAnsi="楷体" w:eastAsia="楷体" w:cs="楷体"/>
          <w:b/>
          <w:bCs/>
          <w:color w:val="000000" w:themeColor="text1"/>
          <w:sz w:val="44"/>
          <w:szCs w:val="44"/>
          <w:shd w:val="clear" w:color="auto" w:fill="auto"/>
          <w:lang w:eastAsia="zh-CN"/>
        </w:rPr>
      </w:pPr>
    </w:p>
    <w:p>
      <w:pPr>
        <w:keepNext w:val="0"/>
        <w:keepLines w:val="0"/>
        <w:pageBreakBefore w:val="0"/>
        <w:widowControl w:val="0"/>
        <w:kinsoku/>
        <w:wordWrap/>
        <w:overflowPunct/>
        <w:topLinePunct w:val="0"/>
        <w:autoSpaceDE/>
        <w:autoSpaceDN/>
        <w:bidi w:val="0"/>
        <w:adjustRightInd/>
        <w:snapToGrid/>
        <w:spacing w:line="720" w:lineRule="auto"/>
        <w:ind w:left="0" w:leftChars="0" w:right="0" w:rightChars="0" w:firstLine="643" w:firstLineChars="200"/>
        <w:jc w:val="both"/>
        <w:textAlignment w:val="auto"/>
        <w:outlineLvl w:val="9"/>
        <w:rPr>
          <w:rFonts w:hint="eastAsia" w:ascii="楷体" w:hAnsi="楷体" w:eastAsia="楷体" w:cs="楷体"/>
          <w:b/>
          <w:bCs/>
          <w:color w:val="000000" w:themeColor="text1"/>
          <w:sz w:val="32"/>
          <w:szCs w:val="32"/>
          <w:shd w:val="clear" w:color="auto" w:fill="auto"/>
          <w:lang w:eastAsia="zh-CN"/>
        </w:rPr>
      </w:pPr>
    </w:p>
    <w:p>
      <w:pPr>
        <w:keepNext w:val="0"/>
        <w:keepLines w:val="0"/>
        <w:pageBreakBefore w:val="0"/>
        <w:widowControl w:val="0"/>
        <w:kinsoku/>
        <w:wordWrap/>
        <w:overflowPunct/>
        <w:topLinePunct w:val="0"/>
        <w:autoSpaceDE/>
        <w:autoSpaceDN/>
        <w:bidi w:val="0"/>
        <w:adjustRightInd/>
        <w:snapToGrid/>
        <w:spacing w:line="720" w:lineRule="auto"/>
        <w:ind w:left="0" w:leftChars="0" w:right="0" w:rightChars="0" w:firstLine="643" w:firstLineChars="200"/>
        <w:jc w:val="both"/>
        <w:textAlignment w:val="auto"/>
        <w:outlineLvl w:val="9"/>
        <w:rPr>
          <w:rFonts w:hint="eastAsia" w:ascii="楷体" w:hAnsi="楷体" w:eastAsia="楷体" w:cs="楷体"/>
          <w:b/>
          <w:bCs/>
          <w:color w:val="000000" w:themeColor="text1"/>
          <w:sz w:val="32"/>
          <w:szCs w:val="32"/>
          <w:shd w:val="clear" w:color="auto" w:fill="auto"/>
          <w:lang w:eastAsia="zh-CN"/>
        </w:rPr>
      </w:pPr>
    </w:p>
    <w:p>
      <w:pPr>
        <w:keepNext w:val="0"/>
        <w:keepLines w:val="0"/>
        <w:pageBreakBefore w:val="0"/>
        <w:widowControl w:val="0"/>
        <w:kinsoku/>
        <w:wordWrap/>
        <w:overflowPunct/>
        <w:topLinePunct w:val="0"/>
        <w:autoSpaceDE/>
        <w:autoSpaceDN/>
        <w:bidi w:val="0"/>
        <w:adjustRightInd/>
        <w:snapToGrid/>
        <w:spacing w:line="720" w:lineRule="auto"/>
        <w:ind w:left="0" w:leftChars="0" w:right="0" w:rightChars="0" w:firstLine="643" w:firstLineChars="200"/>
        <w:jc w:val="both"/>
        <w:textAlignment w:val="auto"/>
        <w:outlineLvl w:val="9"/>
        <w:rPr>
          <w:rFonts w:hint="eastAsia" w:ascii="楷体" w:hAnsi="楷体" w:eastAsia="楷体" w:cs="楷体"/>
          <w:b/>
          <w:bCs/>
          <w:color w:val="000000" w:themeColor="text1"/>
          <w:sz w:val="32"/>
          <w:szCs w:val="32"/>
          <w:shd w:val="clear" w:color="auto" w:fill="auto"/>
          <w:lang w:eastAsia="zh-CN"/>
        </w:rPr>
      </w:pPr>
    </w:p>
    <w:p>
      <w:pPr>
        <w:keepNext w:val="0"/>
        <w:keepLines w:val="0"/>
        <w:pageBreakBefore w:val="0"/>
        <w:widowControl w:val="0"/>
        <w:kinsoku/>
        <w:wordWrap/>
        <w:overflowPunct/>
        <w:topLinePunct w:val="0"/>
        <w:autoSpaceDE/>
        <w:autoSpaceDN/>
        <w:bidi w:val="0"/>
        <w:adjustRightInd/>
        <w:snapToGrid/>
        <w:spacing w:line="720" w:lineRule="auto"/>
        <w:ind w:left="0" w:leftChars="0" w:right="0" w:rightChars="0" w:firstLine="643" w:firstLineChars="200"/>
        <w:jc w:val="both"/>
        <w:textAlignment w:val="auto"/>
        <w:outlineLvl w:val="9"/>
        <w:rPr>
          <w:rFonts w:hint="eastAsia" w:ascii="楷体" w:hAnsi="楷体" w:eastAsia="楷体" w:cs="楷体"/>
          <w:b/>
          <w:bCs/>
          <w:color w:val="000000" w:themeColor="text1"/>
          <w:sz w:val="32"/>
          <w:szCs w:val="32"/>
          <w:shd w:val="clear" w:color="auto" w:fill="auto"/>
          <w:lang w:eastAsia="zh-CN"/>
        </w:rPr>
      </w:pPr>
    </w:p>
    <w:p>
      <w:pPr>
        <w:keepNext w:val="0"/>
        <w:keepLines w:val="0"/>
        <w:pageBreakBefore w:val="0"/>
        <w:widowControl w:val="0"/>
        <w:kinsoku/>
        <w:wordWrap/>
        <w:overflowPunct/>
        <w:topLinePunct w:val="0"/>
        <w:autoSpaceDE/>
        <w:autoSpaceDN/>
        <w:bidi w:val="0"/>
        <w:adjustRightInd/>
        <w:snapToGrid/>
        <w:spacing w:line="720" w:lineRule="auto"/>
        <w:ind w:left="0" w:leftChars="0" w:right="0" w:rightChars="0" w:firstLine="643" w:firstLineChars="200"/>
        <w:jc w:val="both"/>
        <w:textAlignment w:val="auto"/>
        <w:outlineLvl w:val="9"/>
        <w:rPr>
          <w:rFonts w:hint="eastAsia" w:ascii="楷体" w:hAnsi="楷体" w:eastAsia="楷体" w:cs="楷体"/>
          <w:b/>
          <w:bCs/>
          <w:color w:val="000000" w:themeColor="text1"/>
          <w:sz w:val="32"/>
          <w:szCs w:val="32"/>
          <w:shd w:val="clear" w:color="auto" w:fill="auto"/>
          <w:lang w:eastAsia="zh-CN"/>
        </w:rPr>
      </w:pPr>
    </w:p>
    <w:p>
      <w:pPr>
        <w:keepNext w:val="0"/>
        <w:keepLines w:val="0"/>
        <w:pageBreakBefore w:val="0"/>
        <w:widowControl w:val="0"/>
        <w:kinsoku/>
        <w:wordWrap/>
        <w:overflowPunct/>
        <w:topLinePunct w:val="0"/>
        <w:autoSpaceDE/>
        <w:autoSpaceDN/>
        <w:bidi w:val="0"/>
        <w:adjustRightInd/>
        <w:snapToGrid/>
        <w:spacing w:line="720" w:lineRule="auto"/>
        <w:ind w:right="0" w:rightChars="0"/>
        <w:jc w:val="both"/>
        <w:textAlignment w:val="auto"/>
        <w:outlineLvl w:val="9"/>
        <w:rPr>
          <w:rFonts w:hint="eastAsia" w:ascii="楷体" w:hAnsi="楷体" w:eastAsia="楷体" w:cs="楷体"/>
          <w:b/>
          <w:bCs/>
          <w:color w:val="000000" w:themeColor="text1"/>
          <w:sz w:val="32"/>
          <w:szCs w:val="32"/>
          <w:lang w:val="en-US" w:eastAsia="zh-CN"/>
        </w:rPr>
      </w:pPr>
      <w:r>
        <w:rPr>
          <w:rFonts w:hint="eastAsia" w:ascii="楷体" w:hAnsi="楷体" w:eastAsia="楷体" w:cs="楷体"/>
          <w:b/>
          <w:bCs/>
          <w:color w:val="000000" w:themeColor="text1"/>
          <w:sz w:val="32"/>
          <w:szCs w:val="32"/>
          <w:shd w:val="clear" w:color="auto" w:fill="auto"/>
          <w:lang w:eastAsia="zh-CN"/>
        </w:rPr>
        <w:t>委托单位：</w:t>
      </w:r>
      <w:r>
        <w:rPr>
          <w:rFonts w:hint="eastAsia" w:ascii="楷体" w:hAnsi="楷体" w:eastAsia="楷体" w:cs="楷体"/>
          <w:b/>
          <w:bCs/>
          <w:color w:val="000000" w:themeColor="text1"/>
          <w:sz w:val="32"/>
          <w:szCs w:val="32"/>
          <w:lang w:val="en-US" w:eastAsia="zh-CN"/>
        </w:rPr>
        <w:t>内蒙古大青山太伟运动休闲度假村开发有限公司</w:t>
      </w:r>
    </w:p>
    <w:p>
      <w:pPr>
        <w:keepNext w:val="0"/>
        <w:keepLines w:val="0"/>
        <w:pageBreakBefore w:val="0"/>
        <w:widowControl w:val="0"/>
        <w:kinsoku/>
        <w:wordWrap/>
        <w:overflowPunct/>
        <w:topLinePunct w:val="0"/>
        <w:autoSpaceDE/>
        <w:autoSpaceDN/>
        <w:bidi w:val="0"/>
        <w:adjustRightInd/>
        <w:snapToGrid/>
        <w:spacing w:line="720" w:lineRule="auto"/>
        <w:ind w:right="0" w:rightChars="0"/>
        <w:jc w:val="both"/>
        <w:textAlignment w:val="auto"/>
        <w:outlineLvl w:val="9"/>
        <w:rPr>
          <w:rFonts w:hint="eastAsia" w:ascii="楷体" w:hAnsi="楷体" w:eastAsia="楷体" w:cs="楷体"/>
          <w:b/>
          <w:bCs/>
          <w:color w:val="000000" w:themeColor="text1"/>
          <w:sz w:val="32"/>
          <w:szCs w:val="32"/>
          <w:lang w:val="en-US" w:eastAsia="zh-CN"/>
        </w:rPr>
      </w:pPr>
      <w:r>
        <w:rPr>
          <w:rFonts w:hint="eastAsia" w:ascii="楷体" w:hAnsi="楷体" w:eastAsia="楷体" w:cs="楷体"/>
          <w:b/>
          <w:bCs/>
          <w:color w:val="000000" w:themeColor="text1"/>
          <w:sz w:val="32"/>
          <w:szCs w:val="32"/>
          <w:lang w:val="en-US" w:eastAsia="zh-CN"/>
        </w:rPr>
        <w:t>编制单位：内蒙古众电能源环境工程有限公司</w:t>
      </w:r>
    </w:p>
    <w:p>
      <w:pPr>
        <w:keepNext w:val="0"/>
        <w:keepLines w:val="0"/>
        <w:pageBreakBefore w:val="0"/>
        <w:widowControl w:val="0"/>
        <w:kinsoku/>
        <w:wordWrap/>
        <w:overflowPunct/>
        <w:topLinePunct w:val="0"/>
        <w:autoSpaceDE/>
        <w:autoSpaceDN/>
        <w:bidi w:val="0"/>
        <w:adjustRightInd/>
        <w:snapToGrid/>
        <w:spacing w:line="720" w:lineRule="auto"/>
        <w:ind w:left="0" w:leftChars="0" w:right="0" w:rightChars="0" w:firstLine="0" w:firstLineChars="0"/>
        <w:jc w:val="center"/>
        <w:textAlignment w:val="auto"/>
        <w:outlineLvl w:val="9"/>
        <w:rPr>
          <w:rFonts w:hint="eastAsia" w:ascii="楷体" w:hAnsi="楷体" w:eastAsia="楷体" w:cs="楷体"/>
          <w:b/>
          <w:bCs/>
          <w:color w:val="000000" w:themeColor="text1"/>
          <w:sz w:val="32"/>
          <w:szCs w:val="32"/>
          <w:lang w:val="en-US" w:eastAsia="zh-CN"/>
        </w:rPr>
      </w:pPr>
      <w:r>
        <w:rPr>
          <w:rFonts w:hint="eastAsia" w:ascii="楷体" w:hAnsi="楷体" w:eastAsia="楷体" w:cs="楷体"/>
          <w:b/>
          <w:bCs/>
          <w:color w:val="000000" w:themeColor="text1"/>
          <w:sz w:val="32"/>
          <w:szCs w:val="32"/>
          <w:lang w:val="en-US" w:eastAsia="zh-CN"/>
        </w:rPr>
        <w:t>2018年2月</w:t>
      </w:r>
    </w:p>
    <w:p>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 xml:space="preserve"> </w:t>
      </w:r>
    </w:p>
    <w:p>
      <w:pPr>
        <w:spacing w:line="360" w:lineRule="auto"/>
        <w:jc w:val="center"/>
        <w:rPr>
          <w:rFonts w:hint="eastAsia" w:ascii="宋体" w:hAnsi="宋体" w:eastAsia="宋体" w:cs="宋体"/>
          <w:b/>
          <w:bCs/>
          <w:sz w:val="28"/>
          <w:szCs w:val="28"/>
        </w:rPr>
      </w:pPr>
      <w:bookmarkStart w:id="62" w:name="_GoBack"/>
      <w:bookmarkEnd w:id="62"/>
    </w:p>
    <w:p>
      <w:pPr>
        <w:spacing w:line="360" w:lineRule="auto"/>
        <w:jc w:val="center"/>
        <w:rPr>
          <w:rFonts w:ascii="宋体" w:hAnsi="宋体" w:eastAsia="宋体" w:cs="宋体"/>
          <w:b/>
          <w:bCs/>
          <w:sz w:val="28"/>
          <w:szCs w:val="28"/>
        </w:rPr>
      </w:pPr>
      <w:r>
        <w:rPr>
          <w:rFonts w:hint="eastAsia" w:ascii="宋体" w:hAnsi="宋体" w:eastAsia="宋体" w:cs="宋体"/>
          <w:b/>
          <w:bCs/>
          <w:sz w:val="28"/>
          <w:szCs w:val="28"/>
        </w:rPr>
        <w:t>目  录</w:t>
      </w:r>
    </w:p>
    <w:p>
      <w:pPr>
        <w:pStyle w:val="8"/>
        <w:tabs>
          <w:tab w:val="right" w:leader="dot" w:pos="8306"/>
        </w:tabs>
        <w:spacing w:line="360" w:lineRule="auto"/>
        <w:rPr>
          <w:rFonts w:ascii="宋体" w:hAnsi="宋体" w:eastAsia="宋体" w:cs="宋体"/>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TOC \o "1-3" \h \u </w:instrText>
      </w:r>
      <w:r>
        <w:rPr>
          <w:rFonts w:hint="eastAsia" w:ascii="宋体" w:hAnsi="宋体" w:eastAsia="宋体" w:cs="宋体"/>
          <w:b/>
          <w:bCs/>
          <w:sz w:val="28"/>
          <w:szCs w:val="28"/>
        </w:rPr>
        <w:fldChar w:fldCharType="separate"/>
      </w:r>
      <w:r>
        <w:fldChar w:fldCharType="begin"/>
      </w:r>
      <w:r>
        <w:instrText xml:space="preserve"> HYPERLINK \l "_Toc334" </w:instrText>
      </w:r>
      <w:r>
        <w:fldChar w:fldCharType="separate"/>
      </w:r>
      <w:r>
        <w:rPr>
          <w:rFonts w:hint="eastAsia" w:ascii="宋体" w:hAnsi="宋体" w:eastAsia="宋体" w:cs="宋体"/>
          <w:bCs/>
          <w:sz w:val="28"/>
          <w:szCs w:val="28"/>
        </w:rPr>
        <w:t>1前言</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_Toc334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"_Toc1990" </w:instrText>
      </w:r>
      <w:r>
        <w:fldChar w:fldCharType="separate"/>
      </w:r>
      <w:r>
        <w:rPr>
          <w:rFonts w:hint="eastAsia" w:ascii="宋体" w:hAnsi="宋体" w:eastAsia="宋体" w:cs="宋体"/>
          <w:bCs/>
          <w:sz w:val="28"/>
          <w:szCs w:val="28"/>
        </w:rPr>
        <w:t>2验收监测依据及执行标准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_Toc1990 </w:instrText>
      </w:r>
      <w:r>
        <w:rPr>
          <w:rFonts w:hint="eastAsia" w:ascii="宋体" w:hAnsi="宋体" w:eastAsia="宋体" w:cs="宋体"/>
          <w:sz w:val="28"/>
          <w:szCs w:val="28"/>
        </w:rPr>
        <w:fldChar w:fldCharType="separate"/>
      </w:r>
      <w:r>
        <w:rPr>
          <w:rFonts w:hint="eastAsia" w:ascii="宋体" w:hAnsi="宋体" w:eastAsia="宋体" w:cs="宋体"/>
          <w:sz w:val="28"/>
          <w:szCs w:val="28"/>
        </w:rPr>
        <w:t>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"_Toc28662" </w:instrText>
      </w:r>
      <w:r>
        <w:fldChar w:fldCharType="separate"/>
      </w:r>
      <w:r>
        <w:rPr>
          <w:rFonts w:hint="eastAsia" w:ascii="宋体" w:hAnsi="宋体" w:eastAsia="宋体" w:cs="宋体"/>
          <w:bCs/>
          <w:sz w:val="28"/>
          <w:szCs w:val="28"/>
        </w:rPr>
        <w:t>2.1验收监测依据</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_Toc28662 </w:instrText>
      </w:r>
      <w:r>
        <w:rPr>
          <w:rFonts w:hint="eastAsia" w:ascii="宋体" w:hAnsi="宋体" w:eastAsia="宋体" w:cs="宋体"/>
          <w:sz w:val="28"/>
          <w:szCs w:val="28"/>
        </w:rPr>
        <w:fldChar w:fldCharType="separate"/>
      </w:r>
      <w:r>
        <w:rPr>
          <w:rFonts w:hint="eastAsia" w:ascii="宋体" w:hAnsi="宋体" w:eastAsia="宋体" w:cs="宋体"/>
          <w:sz w:val="28"/>
          <w:szCs w:val="28"/>
        </w:rPr>
        <w:t>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"_Toc16775" </w:instrText>
      </w:r>
      <w:r>
        <w:fldChar w:fldCharType="separate"/>
      </w:r>
      <w:r>
        <w:rPr>
          <w:rFonts w:hint="eastAsia" w:ascii="宋体" w:hAnsi="宋体" w:eastAsia="宋体" w:cs="宋体"/>
          <w:bCs/>
          <w:sz w:val="28"/>
          <w:szCs w:val="28"/>
        </w:rPr>
        <w:t>2.2验收监测执行标准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_Toc16775 </w:instrText>
      </w:r>
      <w:r>
        <w:rPr>
          <w:rFonts w:hint="eastAsia" w:ascii="宋体" w:hAnsi="宋体" w:eastAsia="宋体" w:cs="宋体"/>
          <w:sz w:val="28"/>
          <w:szCs w:val="28"/>
        </w:rPr>
        <w:fldChar w:fldCharType="separate"/>
      </w:r>
      <w:r>
        <w:rPr>
          <w:rFonts w:hint="eastAsia" w:ascii="宋体" w:hAnsi="宋体" w:eastAsia="宋体" w:cs="宋体"/>
          <w:sz w:val="28"/>
          <w:szCs w:val="28"/>
        </w:rPr>
        <w:t>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"_Toc30628" </w:instrText>
      </w:r>
      <w:r>
        <w:fldChar w:fldCharType="separate"/>
      </w:r>
      <w:r>
        <w:rPr>
          <w:rFonts w:hint="eastAsia" w:ascii="宋体" w:hAnsi="宋体" w:eastAsia="宋体" w:cs="宋体"/>
          <w:bCs/>
          <w:sz w:val="28"/>
          <w:szCs w:val="28"/>
        </w:rPr>
        <w:t>2.2.1废气执行标准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_Toc30628 </w:instrText>
      </w:r>
      <w:r>
        <w:rPr>
          <w:rFonts w:hint="eastAsia" w:ascii="宋体" w:hAnsi="宋体" w:eastAsia="宋体" w:cs="宋体"/>
          <w:sz w:val="28"/>
          <w:szCs w:val="28"/>
        </w:rPr>
        <w:fldChar w:fldCharType="separate"/>
      </w:r>
      <w:r>
        <w:rPr>
          <w:rFonts w:hint="eastAsia" w:ascii="宋体" w:hAnsi="宋体" w:eastAsia="宋体" w:cs="宋体"/>
          <w:sz w:val="28"/>
          <w:szCs w:val="28"/>
        </w:rPr>
        <w:t>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"_Toc14673" </w:instrText>
      </w:r>
      <w:r>
        <w:fldChar w:fldCharType="separate"/>
      </w:r>
      <w:r>
        <w:rPr>
          <w:rFonts w:hint="eastAsia" w:ascii="宋体" w:hAnsi="宋体" w:eastAsia="宋体" w:cs="宋体"/>
          <w:bCs/>
          <w:sz w:val="28"/>
          <w:szCs w:val="28"/>
        </w:rPr>
        <w:t>2.2.2噪声执行标准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_Toc14673 </w:instrText>
      </w:r>
      <w:r>
        <w:rPr>
          <w:rFonts w:hint="eastAsia" w:ascii="宋体" w:hAnsi="宋体" w:eastAsia="宋体" w:cs="宋体"/>
          <w:sz w:val="28"/>
          <w:szCs w:val="28"/>
        </w:rPr>
        <w:fldChar w:fldCharType="separate"/>
      </w:r>
      <w:r>
        <w:rPr>
          <w:rFonts w:hint="eastAsia" w:ascii="宋体" w:hAnsi="宋体" w:eastAsia="宋体" w:cs="宋体"/>
          <w:sz w:val="28"/>
          <w:szCs w:val="28"/>
        </w:rPr>
        <w:t>4</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"_Toc23277" </w:instrText>
      </w:r>
      <w:r>
        <w:fldChar w:fldCharType="separate"/>
      </w:r>
      <w:r>
        <w:rPr>
          <w:rFonts w:hint="eastAsia" w:ascii="宋体" w:hAnsi="宋体" w:eastAsia="宋体" w:cs="宋体"/>
          <w:bCs/>
          <w:sz w:val="28"/>
          <w:szCs w:val="28"/>
        </w:rPr>
        <w:t>2.2.3污水执行标准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_Toc23277 </w:instrText>
      </w:r>
      <w:r>
        <w:rPr>
          <w:rFonts w:hint="eastAsia" w:ascii="宋体" w:hAnsi="宋体" w:eastAsia="宋体" w:cs="宋体"/>
          <w:sz w:val="28"/>
          <w:szCs w:val="28"/>
        </w:rPr>
        <w:fldChar w:fldCharType="separate"/>
      </w:r>
      <w:r>
        <w:rPr>
          <w:rFonts w:hint="eastAsia" w:ascii="宋体" w:hAnsi="宋体" w:eastAsia="宋体" w:cs="宋体"/>
          <w:sz w:val="28"/>
          <w:szCs w:val="28"/>
        </w:rPr>
        <w:t>4</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"_Toc18981" </w:instrText>
      </w:r>
      <w:r>
        <w:fldChar w:fldCharType="separate"/>
      </w:r>
      <w:r>
        <w:rPr>
          <w:rFonts w:hint="eastAsia" w:ascii="宋体" w:hAnsi="宋体" w:eastAsia="宋体" w:cs="宋体"/>
          <w:bCs/>
          <w:sz w:val="28"/>
          <w:szCs w:val="28"/>
        </w:rPr>
        <w:t>3工程概况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_Toc18981 </w:instrText>
      </w:r>
      <w:r>
        <w:rPr>
          <w:rFonts w:hint="eastAsia" w:ascii="宋体" w:hAnsi="宋体" w:eastAsia="宋体" w:cs="宋体"/>
          <w:sz w:val="28"/>
          <w:szCs w:val="28"/>
        </w:rPr>
        <w:fldChar w:fldCharType="separate"/>
      </w:r>
      <w:r>
        <w:rPr>
          <w:rFonts w:hint="eastAsia" w:ascii="宋体" w:hAnsi="宋体" w:eastAsia="宋体" w:cs="宋体"/>
          <w:sz w:val="28"/>
          <w:szCs w:val="28"/>
        </w:rPr>
        <w:t>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"_Toc10376" </w:instrText>
      </w:r>
      <w:r>
        <w:fldChar w:fldCharType="separate"/>
      </w:r>
      <w:r>
        <w:rPr>
          <w:rFonts w:hint="eastAsia" w:ascii="宋体" w:hAnsi="宋体" w:eastAsia="宋体" w:cs="宋体"/>
          <w:bCs/>
          <w:sz w:val="28"/>
          <w:szCs w:val="28"/>
        </w:rPr>
        <w:t>3.1项目地理位置</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_Toc10376 </w:instrText>
      </w:r>
      <w:r>
        <w:rPr>
          <w:rFonts w:hint="eastAsia" w:ascii="宋体" w:hAnsi="宋体" w:eastAsia="宋体" w:cs="宋体"/>
          <w:sz w:val="28"/>
          <w:szCs w:val="28"/>
        </w:rPr>
        <w:fldChar w:fldCharType="separate"/>
      </w:r>
      <w:r>
        <w:rPr>
          <w:rFonts w:hint="eastAsia" w:ascii="宋体" w:hAnsi="宋体" w:eastAsia="宋体" w:cs="宋体"/>
          <w:sz w:val="28"/>
          <w:szCs w:val="28"/>
        </w:rPr>
        <w:t>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"_Toc20653" </w:instrText>
      </w:r>
      <w:r>
        <w:fldChar w:fldCharType="separate"/>
      </w:r>
      <w:r>
        <w:rPr>
          <w:rFonts w:hint="eastAsia" w:ascii="宋体" w:hAnsi="宋体" w:eastAsia="宋体" w:cs="宋体"/>
          <w:bCs/>
          <w:sz w:val="28"/>
          <w:szCs w:val="28"/>
        </w:rPr>
        <w:t>3.2项目建设内容</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_Toc20653 </w:instrText>
      </w:r>
      <w:r>
        <w:rPr>
          <w:rFonts w:hint="eastAsia" w:ascii="宋体" w:hAnsi="宋体" w:eastAsia="宋体" w:cs="宋体"/>
          <w:sz w:val="28"/>
          <w:szCs w:val="28"/>
        </w:rPr>
        <w:fldChar w:fldCharType="separate"/>
      </w:r>
      <w:r>
        <w:rPr>
          <w:rFonts w:hint="eastAsia" w:ascii="宋体" w:hAnsi="宋体" w:eastAsia="宋体" w:cs="宋体"/>
          <w:sz w:val="28"/>
          <w:szCs w:val="28"/>
        </w:rPr>
        <w:t>6</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"_Toc30722" </w:instrText>
      </w:r>
      <w:r>
        <w:fldChar w:fldCharType="separate"/>
      </w:r>
      <w:r>
        <w:rPr>
          <w:rFonts w:hint="eastAsia" w:ascii="宋体" w:hAnsi="宋体" w:eastAsia="宋体" w:cs="宋体"/>
          <w:bCs/>
          <w:sz w:val="28"/>
          <w:szCs w:val="28"/>
        </w:rPr>
        <w:t>3.3环保投资落实情况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_Toc30722 </w:instrText>
      </w:r>
      <w:r>
        <w:rPr>
          <w:rFonts w:hint="eastAsia" w:ascii="宋体" w:hAnsi="宋体" w:eastAsia="宋体" w:cs="宋体"/>
          <w:sz w:val="28"/>
          <w:szCs w:val="28"/>
        </w:rPr>
        <w:fldChar w:fldCharType="separate"/>
      </w:r>
      <w:r>
        <w:rPr>
          <w:rFonts w:hint="eastAsia" w:ascii="宋体" w:hAnsi="宋体" w:eastAsia="宋体" w:cs="宋体"/>
          <w:sz w:val="28"/>
          <w:szCs w:val="28"/>
        </w:rPr>
        <w:t>7</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"_Toc9638" </w:instrText>
      </w:r>
      <w:r>
        <w:fldChar w:fldCharType="separate"/>
      </w:r>
      <w:r>
        <w:rPr>
          <w:rFonts w:hint="eastAsia" w:ascii="宋体" w:hAnsi="宋体" w:eastAsia="宋体" w:cs="宋体"/>
          <w:bCs/>
          <w:sz w:val="28"/>
          <w:szCs w:val="28"/>
        </w:rPr>
        <w:t>4环评主要结论、建议及批复要求</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_Toc9638 </w:instrText>
      </w:r>
      <w:r>
        <w:rPr>
          <w:rFonts w:hint="eastAsia" w:ascii="宋体" w:hAnsi="宋体" w:eastAsia="宋体" w:cs="宋体"/>
          <w:sz w:val="28"/>
          <w:szCs w:val="28"/>
        </w:rPr>
        <w:fldChar w:fldCharType="separate"/>
      </w:r>
      <w:r>
        <w:rPr>
          <w:rFonts w:hint="eastAsia" w:ascii="宋体" w:hAnsi="宋体" w:eastAsia="宋体" w:cs="宋体"/>
          <w:sz w:val="28"/>
          <w:szCs w:val="28"/>
        </w:rPr>
        <w:t>8</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"_Toc26880" </w:instrText>
      </w:r>
      <w:r>
        <w:fldChar w:fldCharType="separate"/>
      </w:r>
      <w:r>
        <w:rPr>
          <w:rFonts w:hint="eastAsia" w:ascii="宋体" w:hAnsi="宋体" w:eastAsia="宋体" w:cs="宋体"/>
          <w:bCs/>
          <w:sz w:val="28"/>
          <w:szCs w:val="28"/>
        </w:rPr>
        <w:t>4.1环评报告书综合结论与建议</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_Toc26880 </w:instrText>
      </w:r>
      <w:r>
        <w:rPr>
          <w:rFonts w:hint="eastAsia" w:ascii="宋体" w:hAnsi="宋体" w:eastAsia="宋体" w:cs="宋体"/>
          <w:sz w:val="28"/>
          <w:szCs w:val="28"/>
        </w:rPr>
        <w:fldChar w:fldCharType="separate"/>
      </w:r>
      <w:r>
        <w:rPr>
          <w:rFonts w:hint="eastAsia" w:ascii="宋体" w:hAnsi="宋体" w:eastAsia="宋体" w:cs="宋体"/>
          <w:sz w:val="28"/>
          <w:szCs w:val="28"/>
        </w:rPr>
        <w:t>8</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"_Toc21653" </w:instrText>
      </w:r>
      <w:r>
        <w:fldChar w:fldCharType="separate"/>
      </w:r>
      <w:r>
        <w:rPr>
          <w:rFonts w:hint="eastAsia" w:ascii="宋体" w:hAnsi="宋体" w:eastAsia="宋体" w:cs="宋体"/>
          <w:bCs/>
          <w:sz w:val="28"/>
          <w:szCs w:val="28"/>
        </w:rPr>
        <w:t>4.2环评批复要求</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_Toc21653 </w:instrText>
      </w:r>
      <w:r>
        <w:rPr>
          <w:rFonts w:hint="eastAsia" w:ascii="宋体" w:hAnsi="宋体" w:eastAsia="宋体" w:cs="宋体"/>
          <w:sz w:val="28"/>
          <w:szCs w:val="28"/>
        </w:rPr>
        <w:fldChar w:fldCharType="separate"/>
      </w:r>
      <w:r>
        <w:rPr>
          <w:rFonts w:hint="eastAsia" w:ascii="宋体" w:hAnsi="宋体" w:eastAsia="宋体" w:cs="宋体"/>
          <w:sz w:val="28"/>
          <w:szCs w:val="28"/>
        </w:rPr>
        <w:t>9</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"_Toc24984" </w:instrText>
      </w:r>
      <w:r>
        <w:fldChar w:fldCharType="separate"/>
      </w:r>
      <w:r>
        <w:rPr>
          <w:rFonts w:hint="eastAsia" w:ascii="宋体" w:hAnsi="宋体" w:eastAsia="宋体" w:cs="宋体"/>
          <w:bCs/>
          <w:sz w:val="28"/>
          <w:szCs w:val="28"/>
        </w:rPr>
        <w:t>5环保措施落实情况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_Toc24984 </w:instrText>
      </w:r>
      <w:r>
        <w:rPr>
          <w:rFonts w:hint="eastAsia" w:ascii="宋体" w:hAnsi="宋体" w:eastAsia="宋体" w:cs="宋体"/>
          <w:sz w:val="28"/>
          <w:szCs w:val="28"/>
        </w:rPr>
        <w:fldChar w:fldCharType="separate"/>
      </w:r>
      <w:r>
        <w:rPr>
          <w:rFonts w:hint="eastAsia" w:ascii="宋体" w:hAnsi="宋体" w:eastAsia="宋体" w:cs="宋体"/>
          <w:sz w:val="28"/>
          <w:szCs w:val="28"/>
        </w:rPr>
        <w:t>11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"_Toc14647" </w:instrText>
      </w:r>
      <w:r>
        <w:fldChar w:fldCharType="separate"/>
      </w:r>
      <w:r>
        <w:rPr>
          <w:rFonts w:hint="eastAsia" w:ascii="宋体" w:hAnsi="宋体" w:eastAsia="宋体" w:cs="宋体"/>
          <w:bCs/>
          <w:sz w:val="28"/>
          <w:szCs w:val="28"/>
        </w:rPr>
        <w:t>5.1大气污染防治措施及落实情况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_Toc14647 </w:instrText>
      </w:r>
      <w:r>
        <w:rPr>
          <w:rFonts w:hint="eastAsia" w:ascii="宋体" w:hAnsi="宋体" w:eastAsia="宋体" w:cs="宋体"/>
          <w:sz w:val="28"/>
          <w:szCs w:val="28"/>
        </w:rPr>
        <w:fldChar w:fldCharType="separate"/>
      </w:r>
      <w:r>
        <w:rPr>
          <w:rFonts w:hint="eastAsia" w:ascii="宋体" w:hAnsi="宋体" w:eastAsia="宋体" w:cs="宋体"/>
          <w:sz w:val="28"/>
          <w:szCs w:val="28"/>
        </w:rPr>
        <w:t>11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"_Toc11412" </w:instrText>
      </w:r>
      <w:r>
        <w:fldChar w:fldCharType="separate"/>
      </w:r>
      <w:r>
        <w:rPr>
          <w:rFonts w:hint="eastAsia" w:ascii="宋体" w:hAnsi="宋体" w:eastAsia="宋体" w:cs="宋体"/>
          <w:bCs/>
          <w:sz w:val="28"/>
          <w:szCs w:val="28"/>
        </w:rPr>
        <w:t>5.2废水治理措施及落实情况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_Toc11412 </w:instrText>
      </w:r>
      <w:r>
        <w:rPr>
          <w:rFonts w:hint="eastAsia" w:ascii="宋体" w:hAnsi="宋体" w:eastAsia="宋体" w:cs="宋体"/>
          <w:sz w:val="28"/>
          <w:szCs w:val="28"/>
        </w:rPr>
        <w:fldChar w:fldCharType="separate"/>
      </w:r>
      <w:r>
        <w:rPr>
          <w:rFonts w:hint="eastAsia" w:ascii="宋体" w:hAnsi="宋体" w:eastAsia="宋体" w:cs="宋体"/>
          <w:sz w:val="28"/>
          <w:szCs w:val="28"/>
        </w:rPr>
        <w:t>12</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"_Toc16708" </w:instrText>
      </w:r>
      <w:r>
        <w:fldChar w:fldCharType="separate"/>
      </w:r>
      <w:r>
        <w:rPr>
          <w:rFonts w:hint="eastAsia" w:ascii="宋体" w:hAnsi="宋体" w:eastAsia="宋体" w:cs="宋体"/>
          <w:bCs/>
          <w:sz w:val="28"/>
          <w:szCs w:val="28"/>
        </w:rPr>
        <w:t>5.3噪声污染防治措施</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_Toc16708 </w:instrText>
      </w:r>
      <w:r>
        <w:rPr>
          <w:rFonts w:hint="eastAsia" w:ascii="宋体" w:hAnsi="宋体" w:eastAsia="宋体" w:cs="宋体"/>
          <w:sz w:val="28"/>
          <w:szCs w:val="28"/>
        </w:rPr>
        <w:fldChar w:fldCharType="separate"/>
      </w:r>
      <w:r>
        <w:rPr>
          <w:rFonts w:hint="eastAsia" w:ascii="宋体" w:hAnsi="宋体" w:eastAsia="宋体" w:cs="宋体"/>
          <w:sz w:val="28"/>
          <w:szCs w:val="28"/>
        </w:rPr>
        <w:t>17</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"_Toc24209" </w:instrText>
      </w:r>
      <w:r>
        <w:fldChar w:fldCharType="separate"/>
      </w:r>
      <w:r>
        <w:rPr>
          <w:rFonts w:hint="eastAsia" w:ascii="宋体" w:hAnsi="宋体" w:eastAsia="宋体" w:cs="宋体"/>
          <w:bCs/>
          <w:sz w:val="28"/>
          <w:szCs w:val="28"/>
        </w:rPr>
        <w:t>5.4固体废物处置措施</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_Toc24209 </w:instrText>
      </w:r>
      <w:r>
        <w:rPr>
          <w:rFonts w:hint="eastAsia" w:ascii="宋体" w:hAnsi="宋体" w:eastAsia="宋体" w:cs="宋体"/>
          <w:sz w:val="28"/>
          <w:szCs w:val="28"/>
        </w:rPr>
        <w:fldChar w:fldCharType="separate"/>
      </w:r>
      <w:r>
        <w:rPr>
          <w:rFonts w:hint="eastAsia" w:ascii="宋体" w:hAnsi="宋体" w:eastAsia="宋体" w:cs="宋体"/>
          <w:sz w:val="28"/>
          <w:szCs w:val="28"/>
        </w:rPr>
        <w:t>18</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"_Toc15743" </w:instrText>
      </w:r>
      <w:r>
        <w:fldChar w:fldCharType="separate"/>
      </w:r>
      <w:r>
        <w:rPr>
          <w:rFonts w:hint="eastAsia" w:ascii="宋体" w:hAnsi="宋体" w:eastAsia="宋体" w:cs="宋体"/>
          <w:bCs/>
          <w:sz w:val="28"/>
          <w:szCs w:val="28"/>
        </w:rPr>
        <w:t>5.5生态环境恢复情况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_Toc15743 </w:instrText>
      </w:r>
      <w:r>
        <w:rPr>
          <w:rFonts w:hint="eastAsia" w:ascii="宋体" w:hAnsi="宋体" w:eastAsia="宋体" w:cs="宋体"/>
          <w:sz w:val="28"/>
          <w:szCs w:val="28"/>
        </w:rPr>
        <w:fldChar w:fldCharType="separate"/>
      </w:r>
      <w:r>
        <w:rPr>
          <w:rFonts w:hint="eastAsia" w:ascii="宋体" w:hAnsi="宋体" w:eastAsia="宋体" w:cs="宋体"/>
          <w:sz w:val="28"/>
          <w:szCs w:val="28"/>
        </w:rPr>
        <w:t>19</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"_Toc24927" </w:instrText>
      </w:r>
      <w:r>
        <w:fldChar w:fldCharType="separate"/>
      </w:r>
      <w:r>
        <w:rPr>
          <w:rFonts w:hint="eastAsia" w:ascii="宋体" w:hAnsi="宋体" w:eastAsia="宋体" w:cs="宋体"/>
          <w:bCs/>
          <w:sz w:val="28"/>
          <w:szCs w:val="28"/>
        </w:rPr>
        <w:t>6生态环境影响调查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_Toc24927 </w:instrText>
      </w:r>
      <w:r>
        <w:rPr>
          <w:rFonts w:hint="eastAsia" w:ascii="宋体" w:hAnsi="宋体" w:eastAsia="宋体" w:cs="宋体"/>
          <w:sz w:val="28"/>
          <w:szCs w:val="28"/>
        </w:rPr>
        <w:fldChar w:fldCharType="separate"/>
      </w:r>
      <w:r>
        <w:rPr>
          <w:rFonts w:hint="eastAsia" w:ascii="宋体" w:hAnsi="宋体" w:eastAsia="宋体" w:cs="宋体"/>
          <w:sz w:val="28"/>
          <w:szCs w:val="28"/>
        </w:rPr>
        <w:t>23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"_Toc17461" </w:instrText>
      </w:r>
      <w:r>
        <w:fldChar w:fldCharType="separate"/>
      </w:r>
      <w:r>
        <w:rPr>
          <w:rFonts w:hint="eastAsia" w:ascii="宋体" w:hAnsi="宋体" w:eastAsia="宋体" w:cs="宋体"/>
          <w:bCs/>
          <w:sz w:val="28"/>
          <w:szCs w:val="28"/>
        </w:rPr>
        <w:t>6.1项目占地性质及占地面积调查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_Toc17461 </w:instrText>
      </w:r>
      <w:r>
        <w:rPr>
          <w:rFonts w:hint="eastAsia" w:ascii="宋体" w:hAnsi="宋体" w:eastAsia="宋体" w:cs="宋体"/>
          <w:sz w:val="28"/>
          <w:szCs w:val="28"/>
        </w:rPr>
        <w:fldChar w:fldCharType="separate"/>
      </w:r>
      <w:r>
        <w:rPr>
          <w:rFonts w:hint="eastAsia" w:ascii="宋体" w:hAnsi="宋体" w:eastAsia="宋体" w:cs="宋体"/>
          <w:sz w:val="28"/>
          <w:szCs w:val="28"/>
        </w:rPr>
        <w:t>23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"_Toc16135" </w:instrText>
      </w:r>
      <w:r>
        <w:fldChar w:fldCharType="separate"/>
      </w:r>
      <w:r>
        <w:rPr>
          <w:rFonts w:hint="eastAsia" w:ascii="宋体" w:hAnsi="宋体" w:eastAsia="宋体" w:cs="宋体"/>
          <w:bCs/>
          <w:sz w:val="28"/>
          <w:szCs w:val="28"/>
        </w:rPr>
        <w:t>6.2项目区绿化情况调查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_Toc16135 </w:instrText>
      </w:r>
      <w:r>
        <w:rPr>
          <w:rFonts w:hint="eastAsia" w:ascii="宋体" w:hAnsi="宋体" w:eastAsia="宋体" w:cs="宋体"/>
          <w:sz w:val="28"/>
          <w:szCs w:val="28"/>
        </w:rPr>
        <w:fldChar w:fldCharType="separate"/>
      </w:r>
      <w:r>
        <w:rPr>
          <w:rFonts w:hint="eastAsia" w:ascii="宋体" w:hAnsi="宋体" w:eastAsia="宋体" w:cs="宋体"/>
          <w:sz w:val="28"/>
          <w:szCs w:val="28"/>
        </w:rPr>
        <w:t>23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"_Toc30851" </w:instrText>
      </w:r>
      <w:r>
        <w:fldChar w:fldCharType="separate"/>
      </w:r>
      <w:r>
        <w:rPr>
          <w:rFonts w:hint="eastAsia" w:ascii="宋体" w:hAnsi="宋体" w:eastAsia="宋体" w:cs="宋体"/>
          <w:bCs/>
          <w:sz w:val="28"/>
          <w:szCs w:val="28"/>
        </w:rPr>
        <w:t>6.3遥感调查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_Toc30851 </w:instrText>
      </w:r>
      <w:r>
        <w:rPr>
          <w:rFonts w:hint="eastAsia" w:ascii="宋体" w:hAnsi="宋体" w:eastAsia="宋体" w:cs="宋体"/>
          <w:sz w:val="28"/>
          <w:szCs w:val="28"/>
        </w:rPr>
        <w:fldChar w:fldCharType="separate"/>
      </w:r>
      <w:r>
        <w:rPr>
          <w:rFonts w:hint="eastAsia" w:ascii="宋体" w:hAnsi="宋体" w:eastAsia="宋体" w:cs="宋体"/>
          <w:sz w:val="28"/>
          <w:szCs w:val="28"/>
        </w:rPr>
        <w:t>23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"_Toc21093" </w:instrText>
      </w:r>
      <w:r>
        <w:fldChar w:fldCharType="separate"/>
      </w:r>
      <w:r>
        <w:rPr>
          <w:rFonts w:hint="eastAsia" w:ascii="宋体" w:hAnsi="宋体" w:eastAsia="宋体" w:cs="宋体"/>
          <w:bCs/>
          <w:sz w:val="28"/>
          <w:szCs w:val="28"/>
        </w:rPr>
        <w:t>6.3.1土壤侵蚀类型调查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_Toc21093 </w:instrText>
      </w:r>
      <w:r>
        <w:rPr>
          <w:rFonts w:hint="eastAsia" w:ascii="宋体" w:hAnsi="宋体" w:eastAsia="宋体" w:cs="宋体"/>
          <w:sz w:val="28"/>
          <w:szCs w:val="28"/>
        </w:rPr>
        <w:fldChar w:fldCharType="separate"/>
      </w:r>
      <w:r>
        <w:rPr>
          <w:rFonts w:hint="eastAsia" w:ascii="宋体" w:hAnsi="宋体" w:eastAsia="宋体" w:cs="宋体"/>
          <w:sz w:val="28"/>
          <w:szCs w:val="28"/>
        </w:rPr>
        <w:t>23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"_Toc25901" </w:instrText>
      </w:r>
      <w:r>
        <w:fldChar w:fldCharType="separate"/>
      </w:r>
      <w:r>
        <w:rPr>
          <w:rFonts w:hint="eastAsia" w:ascii="宋体" w:hAnsi="宋体" w:eastAsia="宋体" w:cs="宋体"/>
          <w:bCs/>
          <w:sz w:val="28"/>
          <w:szCs w:val="28"/>
        </w:rPr>
        <w:t>6.3.2土地利用类型调查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_Toc25901 </w:instrText>
      </w:r>
      <w:r>
        <w:rPr>
          <w:rFonts w:hint="eastAsia" w:ascii="宋体" w:hAnsi="宋体" w:eastAsia="宋体" w:cs="宋体"/>
          <w:sz w:val="28"/>
          <w:szCs w:val="28"/>
        </w:rPr>
        <w:fldChar w:fldCharType="separate"/>
      </w:r>
      <w:r>
        <w:rPr>
          <w:rFonts w:hint="eastAsia" w:ascii="宋体" w:hAnsi="宋体" w:eastAsia="宋体" w:cs="宋体"/>
          <w:sz w:val="28"/>
          <w:szCs w:val="28"/>
        </w:rPr>
        <w:t>25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"_Toc28989" </w:instrText>
      </w:r>
      <w:r>
        <w:fldChar w:fldCharType="separate"/>
      </w:r>
      <w:r>
        <w:rPr>
          <w:rFonts w:hint="eastAsia" w:ascii="宋体" w:hAnsi="宋体" w:eastAsia="宋体" w:cs="宋体"/>
          <w:bCs/>
          <w:sz w:val="28"/>
          <w:szCs w:val="28"/>
        </w:rPr>
        <w:t>7大气环境影响调查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_Toc28989 </w:instrText>
      </w:r>
      <w:r>
        <w:rPr>
          <w:rFonts w:hint="eastAsia" w:ascii="宋体" w:hAnsi="宋体" w:eastAsia="宋体" w:cs="宋体"/>
          <w:sz w:val="28"/>
          <w:szCs w:val="28"/>
        </w:rPr>
        <w:fldChar w:fldCharType="separate"/>
      </w:r>
      <w:r>
        <w:rPr>
          <w:rFonts w:hint="eastAsia" w:ascii="宋体" w:hAnsi="宋体" w:eastAsia="宋体" w:cs="宋体"/>
          <w:sz w:val="28"/>
          <w:szCs w:val="28"/>
        </w:rPr>
        <w:t>28</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"_Toc20167" </w:instrText>
      </w:r>
      <w:r>
        <w:fldChar w:fldCharType="separate"/>
      </w:r>
      <w:r>
        <w:rPr>
          <w:rFonts w:hint="eastAsia" w:ascii="宋体" w:hAnsi="宋体" w:eastAsia="宋体" w:cs="宋体"/>
          <w:bCs/>
          <w:sz w:val="28"/>
          <w:szCs w:val="28"/>
        </w:rPr>
        <w:t>7.1监测因子</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_Toc20167 </w:instrText>
      </w:r>
      <w:r>
        <w:rPr>
          <w:rFonts w:hint="eastAsia" w:ascii="宋体" w:hAnsi="宋体" w:eastAsia="宋体" w:cs="宋体"/>
          <w:sz w:val="28"/>
          <w:szCs w:val="28"/>
        </w:rPr>
        <w:fldChar w:fldCharType="separate"/>
      </w:r>
      <w:r>
        <w:rPr>
          <w:rFonts w:hint="eastAsia" w:ascii="宋体" w:hAnsi="宋体" w:eastAsia="宋体" w:cs="宋体"/>
          <w:sz w:val="28"/>
          <w:szCs w:val="28"/>
        </w:rPr>
        <w:t>28</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"_Toc1063" </w:instrText>
      </w:r>
      <w:r>
        <w:fldChar w:fldCharType="separate"/>
      </w:r>
      <w:r>
        <w:rPr>
          <w:rFonts w:hint="eastAsia" w:ascii="宋体" w:hAnsi="宋体" w:eastAsia="宋体" w:cs="宋体"/>
          <w:bCs/>
          <w:sz w:val="28"/>
          <w:szCs w:val="28"/>
        </w:rPr>
        <w:t>7.2监测分析方法</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_Toc1063 </w:instrText>
      </w:r>
      <w:r>
        <w:rPr>
          <w:rFonts w:hint="eastAsia" w:ascii="宋体" w:hAnsi="宋体" w:eastAsia="宋体" w:cs="宋体"/>
          <w:sz w:val="28"/>
          <w:szCs w:val="28"/>
        </w:rPr>
        <w:fldChar w:fldCharType="separate"/>
      </w:r>
      <w:r>
        <w:rPr>
          <w:rFonts w:hint="eastAsia" w:ascii="宋体" w:hAnsi="宋体" w:eastAsia="宋体" w:cs="宋体"/>
          <w:sz w:val="28"/>
          <w:szCs w:val="28"/>
        </w:rPr>
        <w:t>28</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"_Toc16507" </w:instrText>
      </w:r>
      <w:r>
        <w:fldChar w:fldCharType="separate"/>
      </w:r>
      <w:r>
        <w:rPr>
          <w:rFonts w:hint="eastAsia" w:ascii="宋体" w:hAnsi="宋体" w:eastAsia="宋体" w:cs="宋体"/>
          <w:sz w:val="28"/>
          <w:szCs w:val="28"/>
        </w:rPr>
        <w:t>7.3质量保证和质量控制</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_Toc16507 </w:instrText>
      </w:r>
      <w:r>
        <w:rPr>
          <w:rFonts w:hint="eastAsia" w:ascii="宋体" w:hAnsi="宋体" w:eastAsia="宋体" w:cs="宋体"/>
          <w:sz w:val="28"/>
          <w:szCs w:val="28"/>
        </w:rPr>
        <w:fldChar w:fldCharType="separate"/>
      </w:r>
      <w:r>
        <w:rPr>
          <w:rFonts w:hint="eastAsia" w:ascii="宋体" w:hAnsi="宋体" w:eastAsia="宋体" w:cs="宋体"/>
          <w:sz w:val="28"/>
          <w:szCs w:val="28"/>
        </w:rPr>
        <w:t>28</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"_Toc25301" </w:instrText>
      </w:r>
      <w:r>
        <w:fldChar w:fldCharType="separate"/>
      </w:r>
      <w:r>
        <w:rPr>
          <w:rFonts w:hint="eastAsia" w:ascii="宋体" w:hAnsi="宋体" w:eastAsia="宋体" w:cs="宋体"/>
          <w:bCs/>
          <w:sz w:val="28"/>
          <w:szCs w:val="28"/>
        </w:rPr>
        <w:t>7.4监测结果分析</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_Toc25301 </w:instrText>
      </w:r>
      <w:r>
        <w:rPr>
          <w:rFonts w:hint="eastAsia" w:ascii="宋体" w:hAnsi="宋体" w:eastAsia="宋体" w:cs="宋体"/>
          <w:sz w:val="28"/>
          <w:szCs w:val="28"/>
        </w:rPr>
        <w:fldChar w:fldCharType="separate"/>
      </w:r>
      <w:r>
        <w:rPr>
          <w:rFonts w:hint="eastAsia" w:ascii="宋体" w:hAnsi="宋体" w:eastAsia="宋体" w:cs="宋体"/>
          <w:sz w:val="28"/>
          <w:szCs w:val="28"/>
        </w:rPr>
        <w:t>29</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"_Toc28598" </w:instrText>
      </w:r>
      <w:r>
        <w:fldChar w:fldCharType="separate"/>
      </w:r>
      <w:r>
        <w:rPr>
          <w:rFonts w:hint="eastAsia" w:ascii="宋体" w:hAnsi="宋体" w:eastAsia="宋体" w:cs="宋体"/>
          <w:sz w:val="28"/>
          <w:szCs w:val="28"/>
        </w:rPr>
        <w:t>8声环境影响调查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_Toc28598 </w:instrText>
      </w:r>
      <w:r>
        <w:rPr>
          <w:rFonts w:hint="eastAsia" w:ascii="宋体" w:hAnsi="宋体" w:eastAsia="宋体" w:cs="宋体"/>
          <w:sz w:val="28"/>
          <w:szCs w:val="28"/>
        </w:rPr>
        <w:fldChar w:fldCharType="separate"/>
      </w:r>
      <w:r>
        <w:rPr>
          <w:rFonts w:hint="eastAsia" w:ascii="宋体" w:hAnsi="宋体" w:eastAsia="宋体" w:cs="宋体"/>
          <w:sz w:val="28"/>
          <w:szCs w:val="28"/>
        </w:rPr>
        <w:t>31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"_Toc16245" </w:instrText>
      </w:r>
      <w:r>
        <w:fldChar w:fldCharType="separate"/>
      </w:r>
      <w:r>
        <w:rPr>
          <w:rFonts w:hint="eastAsia" w:ascii="宋体" w:hAnsi="宋体" w:eastAsia="宋体" w:cs="宋体"/>
          <w:bCs/>
          <w:sz w:val="28"/>
          <w:szCs w:val="28"/>
        </w:rPr>
        <w:t>8.1监测布点及监测频率</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_Toc16245 </w:instrText>
      </w:r>
      <w:r>
        <w:rPr>
          <w:rFonts w:hint="eastAsia" w:ascii="宋体" w:hAnsi="宋体" w:eastAsia="宋体" w:cs="宋体"/>
          <w:sz w:val="28"/>
          <w:szCs w:val="28"/>
        </w:rPr>
        <w:fldChar w:fldCharType="separate"/>
      </w:r>
      <w:r>
        <w:rPr>
          <w:rFonts w:hint="eastAsia" w:ascii="宋体" w:hAnsi="宋体" w:eastAsia="宋体" w:cs="宋体"/>
          <w:sz w:val="28"/>
          <w:szCs w:val="28"/>
        </w:rPr>
        <w:t>31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"_Toc13950" </w:instrText>
      </w:r>
      <w:r>
        <w:fldChar w:fldCharType="separate"/>
      </w:r>
      <w:r>
        <w:rPr>
          <w:rFonts w:hint="eastAsia" w:ascii="宋体" w:hAnsi="宋体" w:eastAsia="宋体" w:cs="宋体"/>
          <w:bCs/>
          <w:sz w:val="28"/>
          <w:szCs w:val="28"/>
        </w:rPr>
        <w:t>8.2监测因子</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_Toc13950 </w:instrText>
      </w:r>
      <w:r>
        <w:rPr>
          <w:rFonts w:hint="eastAsia" w:ascii="宋体" w:hAnsi="宋体" w:eastAsia="宋体" w:cs="宋体"/>
          <w:sz w:val="28"/>
          <w:szCs w:val="28"/>
        </w:rPr>
        <w:fldChar w:fldCharType="separate"/>
      </w:r>
      <w:r>
        <w:rPr>
          <w:rFonts w:hint="eastAsia" w:ascii="宋体" w:hAnsi="宋体" w:eastAsia="宋体" w:cs="宋体"/>
          <w:sz w:val="28"/>
          <w:szCs w:val="28"/>
        </w:rPr>
        <w:t>31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"_Toc579" </w:instrText>
      </w:r>
      <w:r>
        <w:fldChar w:fldCharType="separate"/>
      </w:r>
      <w:r>
        <w:rPr>
          <w:rFonts w:hint="eastAsia" w:ascii="宋体" w:hAnsi="宋体" w:eastAsia="宋体" w:cs="宋体"/>
          <w:bCs/>
          <w:sz w:val="28"/>
          <w:szCs w:val="28"/>
        </w:rPr>
        <w:t>8.3监测结果分析</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_Toc579 </w:instrText>
      </w:r>
      <w:r>
        <w:rPr>
          <w:rFonts w:hint="eastAsia" w:ascii="宋体" w:hAnsi="宋体" w:eastAsia="宋体" w:cs="宋体"/>
          <w:sz w:val="28"/>
          <w:szCs w:val="28"/>
        </w:rPr>
        <w:fldChar w:fldCharType="separate"/>
      </w:r>
      <w:r>
        <w:rPr>
          <w:rFonts w:hint="eastAsia" w:ascii="宋体" w:hAnsi="宋体" w:eastAsia="宋体" w:cs="宋体"/>
          <w:sz w:val="28"/>
          <w:szCs w:val="28"/>
        </w:rPr>
        <w:t>31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"_Toc8516" </w:instrText>
      </w:r>
      <w:r>
        <w:fldChar w:fldCharType="separate"/>
      </w:r>
      <w:r>
        <w:rPr>
          <w:rFonts w:hint="eastAsia" w:ascii="宋体" w:hAnsi="宋体" w:eastAsia="宋体" w:cs="宋体"/>
          <w:bCs/>
          <w:sz w:val="28"/>
          <w:szCs w:val="28"/>
        </w:rPr>
        <w:t>9</w:t>
      </w:r>
      <w:r>
        <w:rPr>
          <w:rFonts w:hint="eastAsia" w:ascii="宋体" w:hAnsi="宋体" w:eastAsia="宋体" w:cs="宋体"/>
          <w:sz w:val="28"/>
          <w:szCs w:val="28"/>
        </w:rPr>
        <w:t>水环境影响调查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_Toc8516 </w:instrText>
      </w:r>
      <w:r>
        <w:rPr>
          <w:rFonts w:hint="eastAsia" w:ascii="宋体" w:hAnsi="宋体" w:eastAsia="宋体" w:cs="宋体"/>
          <w:sz w:val="28"/>
          <w:szCs w:val="28"/>
        </w:rPr>
        <w:fldChar w:fldCharType="separate"/>
      </w:r>
      <w:r>
        <w:rPr>
          <w:rFonts w:hint="eastAsia" w:ascii="宋体" w:hAnsi="宋体" w:eastAsia="宋体" w:cs="宋体"/>
          <w:sz w:val="28"/>
          <w:szCs w:val="28"/>
        </w:rPr>
        <w:t>33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"_Toc16004" </w:instrText>
      </w:r>
      <w:r>
        <w:fldChar w:fldCharType="separate"/>
      </w:r>
      <w:r>
        <w:rPr>
          <w:rFonts w:hint="eastAsia" w:ascii="宋体" w:hAnsi="宋体" w:eastAsia="宋体" w:cs="宋体"/>
          <w:sz w:val="28"/>
          <w:szCs w:val="28"/>
        </w:rPr>
        <w:t>9.1监测布点及监测频率</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_Toc16004 </w:instrText>
      </w:r>
      <w:r>
        <w:rPr>
          <w:rFonts w:hint="eastAsia" w:ascii="宋体" w:hAnsi="宋体" w:eastAsia="宋体" w:cs="宋体"/>
          <w:sz w:val="28"/>
          <w:szCs w:val="28"/>
        </w:rPr>
        <w:fldChar w:fldCharType="separate"/>
      </w:r>
      <w:r>
        <w:rPr>
          <w:rFonts w:hint="eastAsia" w:ascii="宋体" w:hAnsi="宋体" w:eastAsia="宋体" w:cs="宋体"/>
          <w:sz w:val="28"/>
          <w:szCs w:val="28"/>
        </w:rPr>
        <w:t>33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"_Toc13417" </w:instrText>
      </w:r>
      <w:r>
        <w:fldChar w:fldCharType="separate"/>
      </w:r>
      <w:r>
        <w:rPr>
          <w:rFonts w:hint="eastAsia" w:ascii="宋体" w:hAnsi="宋体" w:eastAsia="宋体" w:cs="宋体"/>
          <w:sz w:val="28"/>
          <w:szCs w:val="28"/>
        </w:rPr>
        <w:t>9.2监测因子</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_Toc13417 </w:instrText>
      </w:r>
      <w:r>
        <w:rPr>
          <w:rFonts w:hint="eastAsia" w:ascii="宋体" w:hAnsi="宋体" w:eastAsia="宋体" w:cs="宋体"/>
          <w:sz w:val="28"/>
          <w:szCs w:val="28"/>
        </w:rPr>
        <w:fldChar w:fldCharType="separate"/>
      </w:r>
      <w:r>
        <w:rPr>
          <w:rFonts w:hint="eastAsia" w:ascii="宋体" w:hAnsi="宋体" w:eastAsia="宋体" w:cs="宋体"/>
          <w:sz w:val="28"/>
          <w:szCs w:val="28"/>
        </w:rPr>
        <w:t>33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"_Toc29825" </w:instrText>
      </w:r>
      <w:r>
        <w:fldChar w:fldCharType="separate"/>
      </w:r>
      <w:r>
        <w:rPr>
          <w:rFonts w:hint="eastAsia" w:ascii="宋体" w:hAnsi="宋体" w:eastAsia="宋体" w:cs="宋体"/>
          <w:sz w:val="28"/>
          <w:szCs w:val="28"/>
        </w:rPr>
        <w:t>9.3监测结果分析</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_Toc29825 </w:instrText>
      </w:r>
      <w:r>
        <w:rPr>
          <w:rFonts w:hint="eastAsia" w:ascii="宋体" w:hAnsi="宋体" w:eastAsia="宋体" w:cs="宋体"/>
          <w:sz w:val="28"/>
          <w:szCs w:val="28"/>
        </w:rPr>
        <w:fldChar w:fldCharType="separate"/>
      </w:r>
      <w:r>
        <w:rPr>
          <w:rFonts w:hint="eastAsia" w:ascii="宋体" w:hAnsi="宋体" w:eastAsia="宋体" w:cs="宋体"/>
          <w:sz w:val="28"/>
          <w:szCs w:val="28"/>
        </w:rPr>
        <w:t>33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"_Toc28370" </w:instrText>
      </w:r>
      <w:r>
        <w:fldChar w:fldCharType="separate"/>
      </w:r>
      <w:r>
        <w:rPr>
          <w:rFonts w:hint="eastAsia" w:ascii="宋体" w:hAnsi="宋体" w:eastAsia="宋体" w:cs="宋体"/>
          <w:bCs/>
          <w:sz w:val="28"/>
          <w:szCs w:val="28"/>
        </w:rPr>
        <w:t>10固体废弃物影响调查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_Toc28370 </w:instrText>
      </w:r>
      <w:r>
        <w:rPr>
          <w:rFonts w:hint="eastAsia" w:ascii="宋体" w:hAnsi="宋体" w:eastAsia="宋体" w:cs="宋体"/>
          <w:sz w:val="28"/>
          <w:szCs w:val="28"/>
        </w:rPr>
        <w:fldChar w:fldCharType="separate"/>
      </w:r>
      <w:r>
        <w:rPr>
          <w:rFonts w:hint="eastAsia" w:ascii="宋体" w:hAnsi="宋体" w:eastAsia="宋体" w:cs="宋体"/>
          <w:sz w:val="28"/>
          <w:szCs w:val="28"/>
        </w:rPr>
        <w:t>35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"_Toc12352" </w:instrText>
      </w:r>
      <w:r>
        <w:fldChar w:fldCharType="separate"/>
      </w:r>
      <w:r>
        <w:rPr>
          <w:rFonts w:hint="eastAsia" w:ascii="宋体" w:hAnsi="宋体" w:eastAsia="宋体" w:cs="宋体"/>
          <w:bCs/>
          <w:sz w:val="28"/>
          <w:szCs w:val="28"/>
        </w:rPr>
        <w:t>10.1施工期废弃物影响调查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_Toc12352 </w:instrText>
      </w:r>
      <w:r>
        <w:rPr>
          <w:rFonts w:hint="eastAsia" w:ascii="宋体" w:hAnsi="宋体" w:eastAsia="宋体" w:cs="宋体"/>
          <w:sz w:val="28"/>
          <w:szCs w:val="28"/>
        </w:rPr>
        <w:fldChar w:fldCharType="separate"/>
      </w:r>
      <w:r>
        <w:rPr>
          <w:rFonts w:hint="eastAsia" w:ascii="宋体" w:hAnsi="宋体" w:eastAsia="宋体" w:cs="宋体"/>
          <w:sz w:val="28"/>
          <w:szCs w:val="28"/>
        </w:rPr>
        <w:t>35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"_Toc31299" </w:instrText>
      </w:r>
      <w:r>
        <w:fldChar w:fldCharType="separate"/>
      </w:r>
      <w:r>
        <w:rPr>
          <w:rFonts w:hint="eastAsia" w:ascii="宋体" w:hAnsi="宋体" w:eastAsia="宋体" w:cs="宋体"/>
          <w:bCs/>
          <w:sz w:val="28"/>
          <w:szCs w:val="28"/>
        </w:rPr>
        <w:t>10.2运营期废弃物影响调查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_Toc31299 </w:instrText>
      </w:r>
      <w:r>
        <w:rPr>
          <w:rFonts w:hint="eastAsia" w:ascii="宋体" w:hAnsi="宋体" w:eastAsia="宋体" w:cs="宋体"/>
          <w:sz w:val="28"/>
          <w:szCs w:val="28"/>
        </w:rPr>
        <w:fldChar w:fldCharType="separate"/>
      </w:r>
      <w:r>
        <w:rPr>
          <w:rFonts w:hint="eastAsia" w:ascii="宋体" w:hAnsi="宋体" w:eastAsia="宋体" w:cs="宋体"/>
          <w:sz w:val="28"/>
          <w:szCs w:val="28"/>
        </w:rPr>
        <w:t>35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"_Toc21252" </w:instrText>
      </w:r>
      <w:r>
        <w:fldChar w:fldCharType="separate"/>
      </w:r>
      <w:r>
        <w:rPr>
          <w:rFonts w:hint="eastAsia" w:ascii="宋体" w:hAnsi="宋体" w:eastAsia="宋体" w:cs="宋体"/>
          <w:bCs/>
          <w:sz w:val="28"/>
          <w:szCs w:val="28"/>
        </w:rPr>
        <w:t>11环境管理检查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_Toc21252 </w:instrText>
      </w:r>
      <w:r>
        <w:rPr>
          <w:rFonts w:hint="eastAsia" w:ascii="宋体" w:hAnsi="宋体" w:eastAsia="宋体" w:cs="宋体"/>
          <w:sz w:val="28"/>
          <w:szCs w:val="28"/>
        </w:rPr>
        <w:fldChar w:fldCharType="separate"/>
      </w:r>
      <w:r>
        <w:rPr>
          <w:rFonts w:hint="eastAsia" w:ascii="宋体" w:hAnsi="宋体" w:eastAsia="宋体" w:cs="宋体"/>
          <w:sz w:val="28"/>
          <w:szCs w:val="28"/>
        </w:rPr>
        <w:t>36</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"_Toc16210" </w:instrText>
      </w:r>
      <w:r>
        <w:fldChar w:fldCharType="separate"/>
      </w:r>
      <w:r>
        <w:rPr>
          <w:rFonts w:hint="eastAsia" w:ascii="宋体" w:hAnsi="宋体" w:eastAsia="宋体" w:cs="宋体"/>
          <w:sz w:val="28"/>
          <w:szCs w:val="28"/>
        </w:rPr>
        <w:t>11.1执行国家建设项目环境管理制度的情况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_Toc16210 </w:instrText>
      </w:r>
      <w:r>
        <w:rPr>
          <w:rFonts w:hint="eastAsia" w:ascii="宋体" w:hAnsi="宋体" w:eastAsia="宋体" w:cs="宋体"/>
          <w:sz w:val="28"/>
          <w:szCs w:val="28"/>
        </w:rPr>
        <w:fldChar w:fldCharType="separate"/>
      </w:r>
      <w:r>
        <w:rPr>
          <w:rFonts w:hint="eastAsia" w:ascii="宋体" w:hAnsi="宋体" w:eastAsia="宋体" w:cs="宋体"/>
          <w:sz w:val="28"/>
          <w:szCs w:val="28"/>
        </w:rPr>
        <w:t>36</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"_Toc1507" </w:instrText>
      </w:r>
      <w:r>
        <w:fldChar w:fldCharType="separate"/>
      </w:r>
      <w:r>
        <w:rPr>
          <w:rFonts w:hint="eastAsia" w:ascii="宋体" w:hAnsi="宋体" w:eastAsia="宋体" w:cs="宋体"/>
          <w:sz w:val="28"/>
          <w:szCs w:val="28"/>
        </w:rPr>
        <w:t>11.2环评批复落实情况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_Toc1507 </w:instrText>
      </w:r>
      <w:r>
        <w:rPr>
          <w:rFonts w:hint="eastAsia" w:ascii="宋体" w:hAnsi="宋体" w:eastAsia="宋体" w:cs="宋体"/>
          <w:sz w:val="28"/>
          <w:szCs w:val="28"/>
        </w:rPr>
        <w:fldChar w:fldCharType="separate"/>
      </w:r>
      <w:r>
        <w:rPr>
          <w:rFonts w:hint="eastAsia" w:ascii="宋体" w:hAnsi="宋体" w:eastAsia="宋体" w:cs="宋体"/>
          <w:sz w:val="28"/>
          <w:szCs w:val="28"/>
        </w:rPr>
        <w:t>36</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"_Toc562" </w:instrText>
      </w:r>
      <w:r>
        <w:fldChar w:fldCharType="separate"/>
      </w:r>
      <w:r>
        <w:rPr>
          <w:rFonts w:hint="eastAsia" w:ascii="宋体" w:hAnsi="宋体" w:eastAsia="宋体" w:cs="宋体"/>
          <w:bCs/>
          <w:sz w:val="28"/>
          <w:szCs w:val="28"/>
        </w:rPr>
        <w:t>11.3环境保护机构设置和环境管理规章制度及落实情况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_Toc562 </w:instrText>
      </w:r>
      <w:r>
        <w:rPr>
          <w:rFonts w:hint="eastAsia" w:ascii="宋体" w:hAnsi="宋体" w:eastAsia="宋体" w:cs="宋体"/>
          <w:sz w:val="28"/>
          <w:szCs w:val="28"/>
        </w:rPr>
        <w:fldChar w:fldCharType="separate"/>
      </w:r>
      <w:r>
        <w:rPr>
          <w:rFonts w:hint="eastAsia" w:ascii="宋体" w:hAnsi="宋体" w:eastAsia="宋体" w:cs="宋体"/>
          <w:sz w:val="28"/>
          <w:szCs w:val="28"/>
        </w:rPr>
        <w:t>38</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"_Toc1520" </w:instrText>
      </w:r>
      <w:r>
        <w:fldChar w:fldCharType="separate"/>
      </w:r>
      <w:r>
        <w:rPr>
          <w:rFonts w:hint="eastAsia" w:ascii="宋体" w:hAnsi="宋体" w:eastAsia="宋体" w:cs="宋体"/>
          <w:bCs/>
          <w:sz w:val="28"/>
          <w:szCs w:val="28"/>
        </w:rPr>
        <w:t>12验收调查结论与建议</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_Toc1520 </w:instrText>
      </w:r>
      <w:r>
        <w:rPr>
          <w:rFonts w:hint="eastAsia" w:ascii="宋体" w:hAnsi="宋体" w:eastAsia="宋体" w:cs="宋体"/>
          <w:sz w:val="28"/>
          <w:szCs w:val="28"/>
        </w:rPr>
        <w:fldChar w:fldCharType="separate"/>
      </w:r>
      <w:r>
        <w:rPr>
          <w:rFonts w:hint="eastAsia" w:ascii="宋体" w:hAnsi="宋体" w:eastAsia="宋体" w:cs="宋体"/>
          <w:sz w:val="28"/>
          <w:szCs w:val="28"/>
        </w:rPr>
        <w:t>39</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"_Toc5803" </w:instrText>
      </w:r>
      <w:r>
        <w:fldChar w:fldCharType="separate"/>
      </w:r>
      <w:r>
        <w:rPr>
          <w:rFonts w:hint="eastAsia" w:ascii="宋体" w:hAnsi="宋体" w:eastAsia="宋体" w:cs="宋体"/>
          <w:bCs/>
          <w:sz w:val="28"/>
          <w:szCs w:val="28"/>
        </w:rPr>
        <w:t>12.1结论</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_Toc5803 </w:instrText>
      </w:r>
      <w:r>
        <w:rPr>
          <w:rFonts w:hint="eastAsia" w:ascii="宋体" w:hAnsi="宋体" w:eastAsia="宋体" w:cs="宋体"/>
          <w:sz w:val="28"/>
          <w:szCs w:val="28"/>
        </w:rPr>
        <w:fldChar w:fldCharType="separate"/>
      </w:r>
      <w:r>
        <w:rPr>
          <w:rFonts w:hint="eastAsia" w:ascii="宋体" w:hAnsi="宋体" w:eastAsia="宋体" w:cs="宋体"/>
          <w:sz w:val="28"/>
          <w:szCs w:val="28"/>
        </w:rPr>
        <w:t>39</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"_Toc16071" </w:instrText>
      </w:r>
      <w:r>
        <w:fldChar w:fldCharType="separate"/>
      </w:r>
      <w:r>
        <w:rPr>
          <w:rFonts w:hint="eastAsia" w:ascii="宋体" w:hAnsi="宋体" w:eastAsia="宋体" w:cs="宋体"/>
          <w:bCs/>
          <w:sz w:val="28"/>
          <w:szCs w:val="28"/>
        </w:rPr>
        <w:t>12.1.1工程建设情况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_Toc16071 </w:instrText>
      </w:r>
      <w:r>
        <w:rPr>
          <w:rFonts w:hint="eastAsia" w:ascii="宋体" w:hAnsi="宋体" w:eastAsia="宋体" w:cs="宋体"/>
          <w:sz w:val="28"/>
          <w:szCs w:val="28"/>
        </w:rPr>
        <w:fldChar w:fldCharType="separate"/>
      </w:r>
      <w:r>
        <w:rPr>
          <w:rFonts w:hint="eastAsia" w:ascii="宋体" w:hAnsi="宋体" w:eastAsia="宋体" w:cs="宋体"/>
          <w:sz w:val="28"/>
          <w:szCs w:val="28"/>
        </w:rPr>
        <w:t>39</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"_Toc27896" </w:instrText>
      </w:r>
      <w:r>
        <w:fldChar w:fldCharType="separate"/>
      </w:r>
      <w:r>
        <w:rPr>
          <w:rFonts w:hint="eastAsia" w:ascii="宋体" w:hAnsi="宋体" w:eastAsia="宋体" w:cs="宋体"/>
          <w:bCs/>
          <w:sz w:val="28"/>
          <w:szCs w:val="28"/>
        </w:rPr>
        <w:t>12.1.2生态环境影响调查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_Toc27896 </w:instrText>
      </w:r>
      <w:r>
        <w:rPr>
          <w:rFonts w:hint="eastAsia" w:ascii="宋体" w:hAnsi="宋体" w:eastAsia="宋体" w:cs="宋体"/>
          <w:sz w:val="28"/>
          <w:szCs w:val="28"/>
        </w:rPr>
        <w:fldChar w:fldCharType="separate"/>
      </w:r>
      <w:r>
        <w:rPr>
          <w:rFonts w:hint="eastAsia" w:ascii="宋体" w:hAnsi="宋体" w:eastAsia="宋体" w:cs="宋体"/>
          <w:sz w:val="28"/>
          <w:szCs w:val="28"/>
        </w:rPr>
        <w:t>39</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"_Toc3720" </w:instrText>
      </w:r>
      <w:r>
        <w:fldChar w:fldCharType="separate"/>
      </w:r>
      <w:r>
        <w:rPr>
          <w:rFonts w:hint="eastAsia" w:ascii="宋体" w:hAnsi="宋体" w:eastAsia="宋体" w:cs="宋体"/>
          <w:bCs/>
          <w:sz w:val="28"/>
          <w:szCs w:val="28"/>
        </w:rPr>
        <w:t>12.1.3大气环境影响调查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_Toc3720 </w:instrText>
      </w:r>
      <w:r>
        <w:rPr>
          <w:rFonts w:hint="eastAsia" w:ascii="宋体" w:hAnsi="宋体" w:eastAsia="宋体" w:cs="宋体"/>
          <w:sz w:val="28"/>
          <w:szCs w:val="28"/>
        </w:rPr>
        <w:fldChar w:fldCharType="separate"/>
      </w:r>
      <w:r>
        <w:rPr>
          <w:rFonts w:hint="eastAsia" w:ascii="宋体" w:hAnsi="宋体" w:eastAsia="宋体" w:cs="宋体"/>
          <w:sz w:val="28"/>
          <w:szCs w:val="28"/>
        </w:rPr>
        <w:t>39</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"_Toc1631" </w:instrText>
      </w:r>
      <w:r>
        <w:fldChar w:fldCharType="separate"/>
      </w:r>
      <w:r>
        <w:rPr>
          <w:rFonts w:hint="eastAsia" w:ascii="宋体" w:hAnsi="宋体" w:eastAsia="宋体" w:cs="宋体"/>
          <w:bCs/>
          <w:sz w:val="28"/>
          <w:szCs w:val="28"/>
        </w:rPr>
        <w:t>12.1.4水环境影响调查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_Toc1631 </w:instrText>
      </w:r>
      <w:r>
        <w:rPr>
          <w:rFonts w:hint="eastAsia" w:ascii="宋体" w:hAnsi="宋体" w:eastAsia="宋体" w:cs="宋体"/>
          <w:sz w:val="28"/>
          <w:szCs w:val="28"/>
        </w:rPr>
        <w:fldChar w:fldCharType="separate"/>
      </w:r>
      <w:r>
        <w:rPr>
          <w:rFonts w:hint="eastAsia" w:ascii="宋体" w:hAnsi="宋体" w:eastAsia="宋体" w:cs="宋体"/>
          <w:sz w:val="28"/>
          <w:szCs w:val="28"/>
        </w:rPr>
        <w:t>40</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"_Toc9848" </w:instrText>
      </w:r>
      <w:r>
        <w:fldChar w:fldCharType="separate"/>
      </w:r>
      <w:r>
        <w:rPr>
          <w:rFonts w:hint="eastAsia" w:ascii="宋体" w:hAnsi="宋体" w:eastAsia="宋体" w:cs="宋体"/>
          <w:bCs/>
          <w:sz w:val="28"/>
          <w:szCs w:val="28"/>
        </w:rPr>
        <w:t>12.1.5声环境影响调查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_Toc9848 </w:instrText>
      </w:r>
      <w:r>
        <w:rPr>
          <w:rFonts w:hint="eastAsia" w:ascii="宋体" w:hAnsi="宋体" w:eastAsia="宋体" w:cs="宋体"/>
          <w:sz w:val="28"/>
          <w:szCs w:val="28"/>
        </w:rPr>
        <w:fldChar w:fldCharType="separate"/>
      </w:r>
      <w:r>
        <w:rPr>
          <w:rFonts w:hint="eastAsia" w:ascii="宋体" w:hAnsi="宋体" w:eastAsia="宋体" w:cs="宋体"/>
          <w:sz w:val="28"/>
          <w:szCs w:val="28"/>
        </w:rPr>
        <w:t>40</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4"/>
        <w:tabs>
          <w:tab w:val="right" w:leader="dot" w:pos="8306"/>
        </w:tabs>
        <w:spacing w:line="360" w:lineRule="auto"/>
        <w:rPr>
          <w:rFonts w:ascii="宋体" w:hAnsi="宋体" w:eastAsia="宋体" w:cs="宋体"/>
          <w:sz w:val="28"/>
          <w:szCs w:val="28"/>
        </w:rPr>
      </w:pPr>
      <w:r>
        <w:fldChar w:fldCharType="begin"/>
      </w:r>
      <w:r>
        <w:instrText xml:space="preserve"> HYPERLINK \l "_Toc6078" </w:instrText>
      </w:r>
      <w:r>
        <w:fldChar w:fldCharType="separate"/>
      </w:r>
      <w:r>
        <w:rPr>
          <w:rFonts w:hint="eastAsia" w:ascii="宋体" w:hAnsi="宋体" w:eastAsia="宋体" w:cs="宋体"/>
          <w:bCs/>
          <w:sz w:val="28"/>
          <w:szCs w:val="28"/>
        </w:rPr>
        <w:t>12.1.6固体废弃物影响调查</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_Toc6078 </w:instrText>
      </w:r>
      <w:r>
        <w:rPr>
          <w:rFonts w:hint="eastAsia" w:ascii="宋体" w:hAnsi="宋体" w:eastAsia="宋体" w:cs="宋体"/>
          <w:sz w:val="28"/>
          <w:szCs w:val="28"/>
        </w:rPr>
        <w:fldChar w:fldCharType="separate"/>
      </w:r>
      <w:r>
        <w:rPr>
          <w:rFonts w:hint="eastAsia" w:ascii="宋体" w:hAnsi="宋体" w:eastAsia="宋体" w:cs="宋体"/>
          <w:sz w:val="28"/>
          <w:szCs w:val="28"/>
        </w:rPr>
        <w:t>40</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9"/>
        <w:tabs>
          <w:tab w:val="right" w:leader="dot" w:pos="8306"/>
        </w:tabs>
        <w:spacing w:line="360" w:lineRule="auto"/>
        <w:rPr>
          <w:rFonts w:ascii="宋体" w:hAnsi="宋体" w:eastAsia="宋体" w:cs="宋体"/>
          <w:sz w:val="28"/>
          <w:szCs w:val="28"/>
        </w:rPr>
      </w:pPr>
      <w:r>
        <w:fldChar w:fldCharType="begin"/>
      </w:r>
      <w:r>
        <w:instrText xml:space="preserve"> HYPERLINK \l "_Toc21992" </w:instrText>
      </w:r>
      <w:r>
        <w:fldChar w:fldCharType="separate"/>
      </w:r>
      <w:r>
        <w:rPr>
          <w:rFonts w:hint="eastAsia" w:ascii="宋体" w:hAnsi="宋体" w:eastAsia="宋体" w:cs="宋体"/>
          <w:bCs/>
          <w:sz w:val="28"/>
          <w:szCs w:val="28"/>
        </w:rPr>
        <w:t>12.2建议</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_Toc21992 </w:instrText>
      </w:r>
      <w:r>
        <w:rPr>
          <w:rFonts w:hint="eastAsia" w:ascii="宋体" w:hAnsi="宋体" w:eastAsia="宋体" w:cs="宋体"/>
          <w:sz w:val="28"/>
          <w:szCs w:val="28"/>
        </w:rPr>
        <w:fldChar w:fldCharType="separate"/>
      </w:r>
      <w:r>
        <w:rPr>
          <w:rFonts w:hint="eastAsia" w:ascii="宋体" w:hAnsi="宋体" w:eastAsia="宋体" w:cs="宋体"/>
          <w:sz w:val="28"/>
          <w:szCs w:val="28"/>
        </w:rPr>
        <w:t>40</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"_Toc4459" </w:instrText>
      </w:r>
      <w:r>
        <w:fldChar w:fldCharType="separate"/>
      </w:r>
      <w:r>
        <w:rPr>
          <w:rFonts w:hint="eastAsia" w:ascii="宋体" w:hAnsi="宋体" w:eastAsia="宋体" w:cs="宋体"/>
          <w:sz w:val="28"/>
          <w:szCs w:val="28"/>
        </w:rPr>
        <w:t>附件1 环评批复</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_Toc4459 </w:instrText>
      </w:r>
      <w:r>
        <w:rPr>
          <w:rFonts w:hint="eastAsia" w:ascii="宋体" w:hAnsi="宋体" w:eastAsia="宋体" w:cs="宋体"/>
          <w:sz w:val="28"/>
          <w:szCs w:val="28"/>
        </w:rPr>
        <w:fldChar w:fldCharType="separate"/>
      </w:r>
      <w:r>
        <w:rPr>
          <w:rFonts w:hint="eastAsia" w:ascii="宋体" w:hAnsi="宋体" w:eastAsia="宋体" w:cs="宋体"/>
          <w:sz w:val="28"/>
          <w:szCs w:val="28"/>
        </w:rPr>
        <w:t>42</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"_Toc14606" </w:instrText>
      </w:r>
      <w:r>
        <w:fldChar w:fldCharType="separate"/>
      </w:r>
      <w:r>
        <w:rPr>
          <w:rFonts w:hint="eastAsia" w:ascii="宋体" w:hAnsi="宋体" w:eastAsia="宋体" w:cs="宋体"/>
          <w:sz w:val="28"/>
          <w:szCs w:val="28"/>
        </w:rPr>
        <w:t>附件2 污水拉运协议</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_Toc14606 </w:instrText>
      </w:r>
      <w:r>
        <w:rPr>
          <w:rFonts w:hint="eastAsia" w:ascii="宋体" w:hAnsi="宋体" w:eastAsia="宋体" w:cs="宋体"/>
          <w:sz w:val="28"/>
          <w:szCs w:val="28"/>
        </w:rPr>
        <w:fldChar w:fldCharType="separate"/>
      </w:r>
      <w:r>
        <w:rPr>
          <w:rFonts w:hint="eastAsia" w:ascii="宋体" w:hAnsi="宋体" w:eastAsia="宋体" w:cs="宋体"/>
          <w:sz w:val="28"/>
          <w:szCs w:val="28"/>
        </w:rPr>
        <w:t>44</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"_Toc16145" </w:instrText>
      </w:r>
      <w:r>
        <w:fldChar w:fldCharType="separate"/>
      </w:r>
      <w:r>
        <w:rPr>
          <w:rFonts w:hint="eastAsia" w:ascii="宋体" w:hAnsi="宋体" w:eastAsia="宋体" w:cs="宋体"/>
          <w:sz w:val="28"/>
          <w:szCs w:val="28"/>
        </w:rPr>
        <w:t>附件3 污水处理协议</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_Toc16145 </w:instrText>
      </w:r>
      <w:r>
        <w:rPr>
          <w:rFonts w:hint="eastAsia" w:ascii="宋体" w:hAnsi="宋体" w:eastAsia="宋体" w:cs="宋体"/>
          <w:sz w:val="28"/>
          <w:szCs w:val="28"/>
        </w:rPr>
        <w:fldChar w:fldCharType="separate"/>
      </w:r>
      <w:r>
        <w:rPr>
          <w:rFonts w:hint="eastAsia" w:ascii="宋体" w:hAnsi="宋体" w:eastAsia="宋体" w:cs="宋体"/>
          <w:sz w:val="28"/>
          <w:szCs w:val="28"/>
        </w:rPr>
        <w:t>47</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"_Toc21494" </w:instrText>
      </w:r>
      <w:r>
        <w:fldChar w:fldCharType="separate"/>
      </w:r>
      <w:r>
        <w:rPr>
          <w:rFonts w:hint="eastAsia" w:ascii="宋体" w:hAnsi="宋体" w:eastAsia="宋体" w:cs="宋体"/>
          <w:sz w:val="28"/>
          <w:szCs w:val="28"/>
        </w:rPr>
        <w:t>附件4 复合防水卷材检验报告</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_Toc21494 </w:instrText>
      </w:r>
      <w:r>
        <w:rPr>
          <w:rFonts w:hint="eastAsia" w:ascii="宋体" w:hAnsi="宋体" w:eastAsia="宋体" w:cs="宋体"/>
          <w:sz w:val="28"/>
          <w:szCs w:val="28"/>
        </w:rPr>
        <w:fldChar w:fldCharType="separate"/>
      </w:r>
      <w:r>
        <w:rPr>
          <w:rFonts w:hint="eastAsia" w:ascii="宋体" w:hAnsi="宋体" w:eastAsia="宋体" w:cs="宋体"/>
          <w:sz w:val="28"/>
          <w:szCs w:val="28"/>
        </w:rPr>
        <w:t>50</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"_Toc1903" </w:instrText>
      </w:r>
      <w:r>
        <w:fldChar w:fldCharType="separate"/>
      </w:r>
      <w:r>
        <w:rPr>
          <w:rFonts w:hint="eastAsia" w:ascii="宋体" w:hAnsi="宋体" w:eastAsia="宋体" w:cs="宋体"/>
          <w:sz w:val="28"/>
          <w:szCs w:val="28"/>
        </w:rPr>
        <w:t>附件5 生活垃圾处置协议</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_Toc1903 </w:instrText>
      </w:r>
      <w:r>
        <w:rPr>
          <w:rFonts w:hint="eastAsia" w:ascii="宋体" w:hAnsi="宋体" w:eastAsia="宋体" w:cs="宋体"/>
          <w:sz w:val="28"/>
          <w:szCs w:val="28"/>
        </w:rPr>
        <w:fldChar w:fldCharType="separate"/>
      </w:r>
      <w:r>
        <w:rPr>
          <w:rFonts w:hint="eastAsia" w:ascii="宋体" w:hAnsi="宋体" w:eastAsia="宋体" w:cs="宋体"/>
          <w:sz w:val="28"/>
          <w:szCs w:val="28"/>
        </w:rPr>
        <w:t>54</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"_Toc8634" </w:instrText>
      </w:r>
      <w:r>
        <w:fldChar w:fldCharType="separate"/>
      </w:r>
      <w:r>
        <w:rPr>
          <w:rFonts w:hint="eastAsia" w:ascii="宋体" w:hAnsi="宋体" w:eastAsia="宋体" w:cs="宋体"/>
          <w:sz w:val="28"/>
          <w:szCs w:val="28"/>
        </w:rPr>
        <w:t>附件6 用地批复</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_Toc8634 </w:instrText>
      </w:r>
      <w:r>
        <w:rPr>
          <w:rFonts w:hint="eastAsia" w:ascii="宋体" w:hAnsi="宋体" w:eastAsia="宋体" w:cs="宋体"/>
          <w:sz w:val="28"/>
          <w:szCs w:val="28"/>
        </w:rPr>
        <w:fldChar w:fldCharType="separate"/>
      </w:r>
      <w:r>
        <w:rPr>
          <w:rFonts w:hint="eastAsia" w:ascii="宋体" w:hAnsi="宋体" w:eastAsia="宋体" w:cs="宋体"/>
          <w:sz w:val="28"/>
          <w:szCs w:val="28"/>
        </w:rPr>
        <w:t>55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8"/>
        <w:tabs>
          <w:tab w:val="right" w:leader="dot" w:pos="8306"/>
        </w:tabs>
        <w:spacing w:line="360" w:lineRule="auto"/>
        <w:rPr>
          <w:rFonts w:ascii="宋体" w:hAnsi="宋体" w:eastAsia="宋体" w:cs="宋体"/>
          <w:sz w:val="28"/>
          <w:szCs w:val="28"/>
        </w:rPr>
      </w:pPr>
      <w:r>
        <w:fldChar w:fldCharType="begin"/>
      </w:r>
      <w:r>
        <w:instrText xml:space="preserve"> HYPERLINK \l "_Toc21290" </w:instrText>
      </w:r>
      <w:r>
        <w:fldChar w:fldCharType="separate"/>
      </w:r>
      <w:r>
        <w:rPr>
          <w:rFonts w:hint="eastAsia" w:ascii="宋体" w:hAnsi="宋体" w:eastAsia="宋体" w:cs="宋体"/>
          <w:sz w:val="28"/>
          <w:szCs w:val="28"/>
        </w:rPr>
        <w:t>附件7 监测报告</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_Toc21290 </w:instrText>
      </w:r>
      <w:r>
        <w:rPr>
          <w:rFonts w:hint="eastAsia" w:ascii="宋体" w:hAnsi="宋体" w:eastAsia="宋体" w:cs="宋体"/>
          <w:sz w:val="28"/>
          <w:szCs w:val="28"/>
        </w:rPr>
        <w:fldChar w:fldCharType="separate"/>
      </w:r>
      <w:r>
        <w:rPr>
          <w:rFonts w:hint="eastAsia" w:ascii="宋体" w:hAnsi="宋体" w:eastAsia="宋体" w:cs="宋体"/>
          <w:sz w:val="28"/>
          <w:szCs w:val="28"/>
        </w:rPr>
        <w:t>57</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spacing w:line="360" w:lineRule="auto"/>
        <w:rPr>
          <w:rFonts w:ascii="宋体" w:hAnsi="宋体" w:eastAsia="宋体" w:cs="宋体"/>
          <w:b/>
          <w:bCs/>
          <w:sz w:val="28"/>
          <w:szCs w:val="28"/>
        </w:rPr>
      </w:pPr>
      <w:r>
        <w:rPr>
          <w:rFonts w:hint="eastAsia" w:ascii="宋体" w:hAnsi="宋体" w:eastAsia="宋体" w:cs="宋体"/>
          <w:bCs/>
          <w:sz w:val="28"/>
          <w:szCs w:val="28"/>
        </w:rPr>
        <w:fldChar w:fldCharType="end"/>
      </w: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sectPr>
          <w:headerReference r:id="rId3" w:type="default"/>
          <w:pgSz w:w="11906" w:h="16838"/>
          <w:pgMar w:top="1440" w:right="1800" w:bottom="1440" w:left="1800" w:header="851" w:footer="992" w:gutter="0"/>
          <w:pgNumType w:start="1"/>
          <w:cols w:space="425" w:num="1"/>
          <w:docGrid w:type="lines" w:linePitch="312" w:charSpace="0"/>
        </w:sectPr>
      </w:pPr>
    </w:p>
    <w:p>
      <w:pPr>
        <w:spacing w:line="360" w:lineRule="auto"/>
        <w:outlineLvl w:val="0"/>
        <w:rPr>
          <w:rFonts w:ascii="宋体" w:hAnsi="宋体" w:eastAsia="宋体" w:cs="宋体"/>
          <w:b/>
          <w:bCs/>
          <w:sz w:val="28"/>
          <w:szCs w:val="28"/>
        </w:rPr>
      </w:pPr>
      <w:bookmarkStart w:id="0" w:name="_Toc334"/>
      <w:r>
        <w:rPr>
          <w:rFonts w:hint="eastAsia" w:ascii="宋体" w:hAnsi="宋体" w:eastAsia="宋体" w:cs="宋体"/>
          <w:b/>
          <w:bCs/>
          <w:sz w:val="28"/>
          <w:szCs w:val="28"/>
        </w:rPr>
        <w:t>1前言</w:t>
      </w:r>
      <w:bookmarkEnd w:id="0"/>
    </w:p>
    <w:p>
      <w:pPr>
        <w:spacing w:line="360" w:lineRule="auto"/>
        <w:ind w:firstLine="560" w:firstLineChars="200"/>
        <w:rPr>
          <w:rFonts w:ascii="宋体" w:hAnsi="宋体" w:eastAsia="宋体" w:cs="宋体"/>
          <w:color w:val="000000"/>
          <w:sz w:val="28"/>
          <w:szCs w:val="28"/>
        </w:rPr>
      </w:pPr>
      <w:r>
        <w:rPr>
          <w:rFonts w:hint="eastAsia" w:ascii="宋体" w:hAnsi="宋体" w:eastAsia="宋体" w:cs="宋体"/>
          <w:color w:val="000000"/>
          <w:sz w:val="28"/>
          <w:szCs w:val="28"/>
        </w:rPr>
        <w:t>为推动呼和浩特市经济发展，提高城市文化品位，合理利用旅游资源，内蒙古大青山太伟运动休闲度假村开发有限公司利用新城区保合少乡所属的古路板村与水磨村之间的荒山、荒坡、河滩进行旅游开发，建设会所、产权式酒店、室外运动等休闲健身项目。</w:t>
      </w:r>
    </w:p>
    <w:p>
      <w:pPr>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color w:val="000000"/>
          <w:sz w:val="28"/>
          <w:szCs w:val="28"/>
        </w:rPr>
        <w:t>内蒙古大青山太伟运动休闲度假村开发建设项目内容包括：会所、产权式酒店、高尔夫球场</w:t>
      </w:r>
      <w:r>
        <w:rPr>
          <w:rFonts w:hint="eastAsia" w:ascii="宋体" w:hAnsi="宋体" w:eastAsia="宋体" w:cs="宋体"/>
          <w:color w:val="000000" w:themeColor="text1"/>
          <w:sz w:val="28"/>
          <w:szCs w:val="28"/>
        </w:rPr>
        <w:t>、滑雪场及附属配套设施，总建筑面积70000m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。会所及高尔夫球场等工程建设内容已于2008年4月30日经呼和浩特市新城区环境保护局同意通过验收。本次验收范围为2008年验收时未建成的39栋产权式酒店一期工程及3台燃气供热锅炉。建设内容包括建设</w:t>
      </w:r>
      <w:r>
        <w:rPr>
          <w:rFonts w:hint="eastAsia" w:ascii="宋体" w:hAnsi="宋体" w:eastAsia="宋体" w:cs="宋体"/>
          <w:color w:val="000000"/>
          <w:sz w:val="28"/>
          <w:szCs w:val="28"/>
        </w:rPr>
        <w:t>产权式酒店一期</w:t>
      </w:r>
      <w:r>
        <w:rPr>
          <w:rFonts w:hint="eastAsia" w:ascii="宋体" w:hAnsi="宋体" w:eastAsia="宋体" w:cs="宋体"/>
          <w:color w:val="000000" w:themeColor="text1"/>
          <w:sz w:val="28"/>
          <w:szCs w:val="28"/>
        </w:rPr>
        <w:t>39栋，将原有2台燃煤锅炉更换为燃气锅炉。</w:t>
      </w:r>
      <w:r>
        <w:rPr>
          <w:rFonts w:hint="eastAsia" w:ascii="宋体" w:hAnsi="宋体" w:eastAsia="宋体" w:cs="宋体"/>
          <w:color w:val="000000"/>
          <w:sz w:val="28"/>
          <w:szCs w:val="28"/>
        </w:rPr>
        <w:t>产权式酒店</w:t>
      </w:r>
      <w:r>
        <w:rPr>
          <w:rFonts w:hint="eastAsia" w:ascii="宋体" w:hAnsi="宋体" w:eastAsia="宋体" w:cs="宋体"/>
          <w:color w:val="000000" w:themeColor="text1"/>
          <w:sz w:val="28"/>
          <w:szCs w:val="28"/>
        </w:rPr>
        <w:t>总建筑面积23358.79m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，总占地面积57125.4m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 xml:space="preserve">。该项目于2006年6月动工建设，2013年11月投入使用。 </w:t>
      </w:r>
    </w:p>
    <w:p>
      <w:pPr>
        <w:spacing w:line="360" w:lineRule="auto"/>
        <w:ind w:firstLine="560" w:firstLineChars="200"/>
        <w:rPr>
          <w:rFonts w:ascii="宋体" w:hAnsi="宋体" w:eastAsia="宋体" w:cs="宋体"/>
          <w:color w:val="000000"/>
          <w:sz w:val="28"/>
          <w:szCs w:val="28"/>
        </w:rPr>
      </w:pPr>
      <w:r>
        <w:rPr>
          <w:rFonts w:hint="eastAsia" w:ascii="宋体" w:hAnsi="宋体" w:eastAsia="宋体" w:cs="宋体"/>
          <w:color w:val="000000"/>
          <w:sz w:val="28"/>
          <w:szCs w:val="28"/>
        </w:rPr>
        <w:t>建设单位委托内蒙古自治区环境科学研究院承担本项目环境影响评价工作，该单位于2004年2月完成本项目环境影响评价报告书报批稿的编制工作。2004年3月17日，呼和浩特市环境保护局以呼环函字【2004】16号文件予以批复（附件1）。</w:t>
      </w:r>
    </w:p>
    <w:p>
      <w:pPr>
        <w:spacing w:line="360" w:lineRule="auto"/>
        <w:ind w:firstLine="560" w:firstLineChars="200"/>
        <w:jc w:val="left"/>
        <w:rPr>
          <w:rFonts w:ascii="宋体" w:hAnsi="宋体" w:eastAsia="宋体" w:cs="宋体"/>
          <w:sz w:val="28"/>
          <w:szCs w:val="28"/>
        </w:rPr>
      </w:pPr>
      <w:r>
        <w:rPr>
          <w:rFonts w:hint="eastAsia" w:ascii="宋体" w:hAnsi="宋体" w:eastAsia="宋体" w:cs="宋体"/>
          <w:sz w:val="28"/>
          <w:szCs w:val="28"/>
        </w:rPr>
        <w:t>根据《中华人民共和国环境保护法》及《建设项目竣工环境保护验收管理办法》（国家环境保护总局第13 号令）等有关规定，按照环境保护设施与主体工程同时设计、同时施工、同时投入使用的“三同时”制度的要求，需要调查工程在施工过程中对环境影响报告书和工程设计文件所提出的环境保护措施和要求的落实情况，全面做好环境保护工作，为工程竣工环境保护验收提供依据。</w:t>
      </w:r>
    </w:p>
    <w:p>
      <w:pPr>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2018年1月内蒙古大青山太伟休闲度假村开发有限公司委托内蒙古富源新纪检测有限责任公司对该项目进行竣工环保验收监测工作。该公司接受委托后在建设单位的配合下，于2018年1月31日至2月1日对现场进行了实地踏勘、布点监测，对燃气锅炉的烟囱建设情况及化粪池防渗情况进行了重点调查，在收集分析了相关资料的基础上对项目影响区域产生的环境空气、噪声等进行了现场监测。在上述工作的基础上，编制了《内蒙古大青山太伟运动休闲度假村建设</w:t>
      </w:r>
      <w:r>
        <w:rPr>
          <w:rFonts w:hint="eastAsia" w:ascii="宋体" w:hAnsi="宋体" w:eastAsia="宋体" w:cs="宋体"/>
          <w:color w:val="000000"/>
          <w:sz w:val="28"/>
          <w:szCs w:val="28"/>
        </w:rPr>
        <w:t>工程竣工环境</w:t>
      </w:r>
      <w:r>
        <w:rPr>
          <w:rFonts w:hint="eastAsia" w:ascii="宋体" w:hAnsi="宋体" w:eastAsia="宋体" w:cs="宋体"/>
          <w:color w:val="000000" w:themeColor="text1"/>
          <w:sz w:val="28"/>
          <w:szCs w:val="28"/>
        </w:rPr>
        <w:t>保护验收调查报告》。</w:t>
      </w:r>
    </w:p>
    <w:p>
      <w:pPr>
        <w:spacing w:line="360" w:lineRule="auto"/>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outlineLvl w:val="0"/>
        <w:rPr>
          <w:rFonts w:ascii="宋体" w:hAnsi="宋体" w:eastAsia="宋体" w:cs="宋体"/>
          <w:b/>
          <w:bCs/>
          <w:sz w:val="28"/>
          <w:szCs w:val="28"/>
        </w:rPr>
      </w:pPr>
      <w:bookmarkStart w:id="1" w:name="_Toc1990"/>
      <w:r>
        <w:rPr>
          <w:rFonts w:hint="eastAsia" w:ascii="宋体" w:hAnsi="宋体" w:eastAsia="宋体" w:cs="宋体"/>
          <w:b/>
          <w:bCs/>
          <w:sz w:val="28"/>
          <w:szCs w:val="28"/>
        </w:rPr>
        <w:t>2验收监测依据及执行标准</w:t>
      </w:r>
      <w:bookmarkEnd w:id="1"/>
    </w:p>
    <w:p>
      <w:pPr>
        <w:spacing w:line="360" w:lineRule="auto"/>
        <w:jc w:val="left"/>
        <w:outlineLvl w:val="1"/>
        <w:rPr>
          <w:rFonts w:ascii="宋体" w:hAnsi="宋体" w:eastAsia="宋体" w:cs="宋体"/>
          <w:b/>
          <w:bCs/>
          <w:sz w:val="28"/>
          <w:szCs w:val="28"/>
        </w:rPr>
      </w:pPr>
      <w:bookmarkStart w:id="2" w:name="_Toc28662"/>
      <w:r>
        <w:rPr>
          <w:rFonts w:hint="eastAsia" w:ascii="宋体" w:hAnsi="宋体" w:eastAsia="宋体" w:cs="宋体"/>
          <w:b/>
          <w:bCs/>
          <w:sz w:val="28"/>
          <w:szCs w:val="28"/>
        </w:rPr>
        <w:t>2.1验收监测依据</w:t>
      </w:r>
      <w:bookmarkEnd w:id="2"/>
    </w:p>
    <w:p>
      <w:pPr>
        <w:spacing w:line="360" w:lineRule="auto"/>
        <w:ind w:firstLine="560" w:firstLineChars="200"/>
        <w:jc w:val="left"/>
        <w:rPr>
          <w:rFonts w:ascii="宋体" w:hAnsi="宋体" w:eastAsia="宋体" w:cs="宋体"/>
          <w:sz w:val="28"/>
          <w:szCs w:val="28"/>
        </w:rPr>
      </w:pPr>
      <w:r>
        <w:rPr>
          <w:rFonts w:hint="eastAsia" w:ascii="宋体" w:hAnsi="宋体" w:eastAsia="宋体" w:cs="宋体"/>
          <w:sz w:val="28"/>
          <w:szCs w:val="28"/>
        </w:rPr>
        <w:t>（1）国务院令第682 号《建设项目环境保护管理条例》，2017.10；</w:t>
      </w:r>
    </w:p>
    <w:p>
      <w:pPr>
        <w:spacing w:line="360" w:lineRule="auto"/>
        <w:ind w:firstLine="560" w:firstLineChars="200"/>
        <w:jc w:val="left"/>
        <w:rPr>
          <w:rFonts w:ascii="宋体" w:hAnsi="宋体" w:eastAsia="宋体" w:cs="宋体"/>
          <w:sz w:val="28"/>
          <w:szCs w:val="28"/>
        </w:rPr>
      </w:pPr>
      <w:r>
        <w:rPr>
          <w:rFonts w:hint="eastAsia" w:ascii="宋体" w:hAnsi="宋体" w:eastAsia="宋体" w:cs="宋体"/>
          <w:sz w:val="28"/>
          <w:szCs w:val="28"/>
        </w:rPr>
        <w:t>（2）国家环境保护总局令第13 号《建设项目竣工环境保护验收管理办法》，2002.2；</w:t>
      </w:r>
    </w:p>
    <w:p>
      <w:pPr>
        <w:spacing w:line="360" w:lineRule="auto"/>
        <w:ind w:firstLine="560" w:firstLineChars="200"/>
        <w:jc w:val="left"/>
        <w:rPr>
          <w:rFonts w:ascii="宋体" w:hAnsi="宋体" w:eastAsia="宋体" w:cs="宋体"/>
          <w:sz w:val="28"/>
          <w:szCs w:val="28"/>
        </w:rPr>
      </w:pPr>
      <w:r>
        <w:rPr>
          <w:rFonts w:hint="eastAsia" w:ascii="宋体" w:hAnsi="宋体" w:eastAsia="宋体" w:cs="宋体"/>
          <w:sz w:val="28"/>
          <w:szCs w:val="28"/>
        </w:rPr>
        <w:t>（3）国家环境保护总局，原环发[2000]38 号文附件《建设项目环境保护设施竣工验收监测技术要求（试行）》，2000.2；</w:t>
      </w:r>
    </w:p>
    <w:p>
      <w:pPr>
        <w:spacing w:line="360" w:lineRule="auto"/>
        <w:ind w:firstLine="560" w:firstLineChars="200"/>
        <w:jc w:val="left"/>
        <w:rPr>
          <w:rFonts w:ascii="宋体" w:hAnsi="宋体" w:eastAsia="宋体" w:cs="宋体"/>
          <w:sz w:val="28"/>
          <w:szCs w:val="28"/>
        </w:rPr>
      </w:pPr>
      <w:r>
        <w:rPr>
          <w:rFonts w:hint="eastAsia" w:ascii="宋体" w:hAnsi="宋体" w:eastAsia="宋体" w:cs="宋体"/>
          <w:sz w:val="28"/>
          <w:szCs w:val="28"/>
        </w:rPr>
        <w:t>（4）环境保护部，环发[2009]150 号关于印发《环境保护部建设项目“三同时”监督检查和竣工环保验收管理规程(试行)》的通知，2009.12；</w:t>
      </w:r>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（5）内蒙古自治区环境科学研究院，《</w:t>
      </w:r>
      <w:r>
        <w:rPr>
          <w:rFonts w:hint="eastAsia" w:ascii="宋体" w:hAnsi="宋体" w:eastAsia="宋体" w:cs="宋体"/>
          <w:color w:val="000000"/>
          <w:sz w:val="28"/>
          <w:szCs w:val="28"/>
        </w:rPr>
        <w:t>内蒙古大青山太伟运动休闲度假村建设工程</w:t>
      </w:r>
      <w:r>
        <w:rPr>
          <w:rFonts w:hint="eastAsia" w:ascii="宋体" w:hAnsi="宋体" w:eastAsia="宋体" w:cs="宋体"/>
          <w:sz w:val="28"/>
          <w:szCs w:val="28"/>
        </w:rPr>
        <w:t>环境影响评价报告书》，2004.2；</w:t>
      </w:r>
    </w:p>
    <w:p>
      <w:pPr>
        <w:spacing w:line="360" w:lineRule="auto"/>
        <w:ind w:firstLine="560" w:firstLineChars="200"/>
        <w:rPr>
          <w:rFonts w:ascii="宋体" w:hAnsi="宋体" w:eastAsia="宋体" w:cs="宋体"/>
          <w:color w:val="000000"/>
          <w:sz w:val="28"/>
          <w:szCs w:val="28"/>
        </w:rPr>
      </w:pPr>
      <w:r>
        <w:rPr>
          <w:rFonts w:hint="eastAsia" w:ascii="宋体" w:hAnsi="宋体" w:eastAsia="宋体" w:cs="宋体"/>
          <w:sz w:val="28"/>
          <w:szCs w:val="28"/>
        </w:rPr>
        <w:t>（6）呼和浩特市环境保护局，呼环函字【2004】16号，</w:t>
      </w:r>
      <w:r>
        <w:rPr>
          <w:rFonts w:hint="eastAsia" w:ascii="宋体" w:hAnsi="宋体" w:eastAsia="宋体" w:cs="宋体"/>
          <w:color w:val="000000" w:themeColor="text1"/>
          <w:sz w:val="28"/>
          <w:szCs w:val="28"/>
        </w:rPr>
        <w:t>《</w:t>
      </w:r>
      <w:r>
        <w:rPr>
          <w:rFonts w:hint="eastAsia" w:ascii="宋体" w:hAnsi="宋体" w:eastAsia="宋体" w:cs="宋体"/>
          <w:color w:val="000000"/>
          <w:sz w:val="28"/>
          <w:szCs w:val="28"/>
        </w:rPr>
        <w:t>内蒙古大青山太伟运动休闲度假村建设工程</w:t>
      </w:r>
      <w:r>
        <w:rPr>
          <w:rFonts w:hint="eastAsia" w:ascii="宋体" w:hAnsi="宋体" w:eastAsia="宋体" w:cs="宋体"/>
          <w:sz w:val="28"/>
          <w:szCs w:val="28"/>
        </w:rPr>
        <w:t>环境影响评价报告书</w:t>
      </w:r>
      <w:r>
        <w:rPr>
          <w:rFonts w:hint="eastAsia" w:ascii="宋体" w:hAnsi="宋体" w:eastAsia="宋体" w:cs="宋体"/>
          <w:color w:val="000000"/>
          <w:sz w:val="28"/>
          <w:szCs w:val="28"/>
        </w:rPr>
        <w:t>的批复》，2004.3.17。</w:t>
      </w:r>
    </w:p>
    <w:p>
      <w:pPr>
        <w:spacing w:line="360" w:lineRule="auto"/>
        <w:outlineLvl w:val="1"/>
        <w:rPr>
          <w:rFonts w:ascii="宋体" w:hAnsi="宋体" w:eastAsia="宋体" w:cs="宋体"/>
          <w:b/>
          <w:bCs/>
          <w:color w:val="000000"/>
          <w:sz w:val="28"/>
          <w:szCs w:val="28"/>
        </w:rPr>
      </w:pPr>
      <w:bookmarkStart w:id="3" w:name="_Toc16775"/>
      <w:r>
        <w:rPr>
          <w:rFonts w:hint="eastAsia" w:ascii="宋体" w:hAnsi="宋体" w:eastAsia="宋体" w:cs="宋体"/>
          <w:b/>
          <w:bCs/>
          <w:color w:val="000000"/>
          <w:sz w:val="28"/>
          <w:szCs w:val="28"/>
        </w:rPr>
        <w:t>2.2验收监测执行标准</w:t>
      </w:r>
      <w:bookmarkEnd w:id="3"/>
    </w:p>
    <w:p>
      <w:pPr>
        <w:spacing w:line="360" w:lineRule="auto"/>
        <w:outlineLvl w:val="2"/>
        <w:rPr>
          <w:rFonts w:ascii="宋体" w:hAnsi="宋体" w:eastAsia="宋体" w:cs="宋体"/>
          <w:b/>
          <w:bCs/>
          <w:sz w:val="28"/>
          <w:szCs w:val="28"/>
        </w:rPr>
      </w:pPr>
      <w:bookmarkStart w:id="4" w:name="_Toc30628"/>
      <w:r>
        <w:rPr>
          <w:rFonts w:hint="eastAsia" w:ascii="宋体" w:hAnsi="宋体" w:eastAsia="宋体" w:cs="宋体"/>
          <w:b/>
          <w:bCs/>
          <w:sz w:val="28"/>
          <w:szCs w:val="28"/>
        </w:rPr>
        <w:t>2.2.1废气执行标准</w:t>
      </w:r>
      <w:bookmarkEnd w:id="4"/>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本项目环评报告书编制时间较早，给出的大气污染物排放标准执行《锅炉大气污染物排放标准》（GB13271-2001）中Ⅱ时段一类区标准，2014年环保部对《锅炉大气污染物排放标准》进行重新修订，本次验收大气污染物排放标准执行《锅炉大气污染物排放标准》（GB13271-2014）</w:t>
      </w:r>
      <w:r>
        <w:rPr>
          <w:rFonts w:hint="eastAsia" w:ascii="宋体" w:hAnsi="宋体" w:eastAsia="宋体" w:cs="宋体"/>
          <w:color w:val="000000" w:themeColor="text1"/>
          <w:sz w:val="28"/>
          <w:szCs w:val="28"/>
        </w:rPr>
        <w:t>中表2限值要求</w:t>
      </w:r>
      <w:r>
        <w:rPr>
          <w:rFonts w:hint="eastAsia" w:ascii="宋体" w:hAnsi="宋体" w:eastAsia="宋体" w:cs="宋体"/>
          <w:sz w:val="28"/>
          <w:szCs w:val="28"/>
        </w:rPr>
        <w:t>:</w:t>
      </w:r>
    </w:p>
    <w:p>
      <w:pPr>
        <w:spacing w:line="360" w:lineRule="auto"/>
        <w:jc w:val="center"/>
        <w:rPr>
          <w:rFonts w:ascii="宋体" w:hAnsi="宋体" w:eastAsia="宋体" w:cs="宋体"/>
          <w:color w:val="000000" w:themeColor="text1"/>
          <w:sz w:val="28"/>
          <w:szCs w:val="28"/>
        </w:rPr>
      </w:pPr>
      <w:r>
        <w:rPr>
          <w:rFonts w:hint="eastAsia" w:ascii="宋体" w:hAnsi="宋体" w:eastAsia="宋体" w:cs="宋体"/>
          <w:b/>
          <w:bCs/>
          <w:szCs w:val="21"/>
        </w:rPr>
        <w:t xml:space="preserve">表6-1  </w:t>
      </w:r>
      <w:r>
        <w:rPr>
          <w:rFonts w:hint="eastAsia" w:ascii="宋体" w:hAnsi="宋体" w:eastAsia="宋体" w:cs="宋体"/>
          <w:b/>
          <w:color w:val="000000" w:themeColor="text1"/>
          <w:szCs w:val="21"/>
        </w:rPr>
        <w:t>新建锅炉大气污染物排放标准</w:t>
      </w:r>
    </w:p>
    <w:tbl>
      <w:tblPr>
        <w:tblStyle w:val="12"/>
        <w:tblW w:w="852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704"/>
        <w:gridCol w:w="1704"/>
        <w:gridCol w:w="1705"/>
        <w:gridCol w:w="17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704" w:type="dxa"/>
            <w:vMerge w:val="restart"/>
            <w:vAlign w:val="center"/>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污染物项目</w:t>
            </w:r>
          </w:p>
        </w:tc>
        <w:tc>
          <w:tcPr>
            <w:tcW w:w="5113" w:type="dxa"/>
            <w:gridSpan w:val="3"/>
            <w:vAlign w:val="center"/>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限值</w:t>
            </w:r>
          </w:p>
        </w:tc>
        <w:tc>
          <w:tcPr>
            <w:tcW w:w="1705" w:type="dxa"/>
            <w:vMerge w:val="restart"/>
            <w:tcBorders>
              <w:bottom w:val="nil"/>
            </w:tcBorders>
            <w:vAlign w:val="center"/>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污染物排放监控位置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704" w:type="dxa"/>
            <w:vMerge w:val="continue"/>
            <w:tcBorders>
              <w:bottom w:val="single" w:color="auto" w:sz="12" w:space="0"/>
            </w:tcBorders>
          </w:tcPr>
          <w:p>
            <w:pPr>
              <w:spacing w:line="360" w:lineRule="auto"/>
              <w:jc w:val="left"/>
              <w:rPr>
                <w:rFonts w:ascii="宋体" w:hAnsi="宋体" w:eastAsia="宋体" w:cs="宋体"/>
                <w:color w:val="000000"/>
                <w:szCs w:val="21"/>
              </w:rPr>
            </w:pPr>
          </w:p>
        </w:tc>
        <w:tc>
          <w:tcPr>
            <w:tcW w:w="1704" w:type="dxa"/>
            <w:tcBorders>
              <w:bottom w:val="single" w:color="auto" w:sz="12" w:space="0"/>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燃煤锅炉</w:t>
            </w:r>
          </w:p>
        </w:tc>
        <w:tc>
          <w:tcPr>
            <w:tcW w:w="1704" w:type="dxa"/>
            <w:tcBorders>
              <w:bottom w:val="single" w:color="auto" w:sz="12" w:space="0"/>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燃油锅炉</w:t>
            </w:r>
          </w:p>
        </w:tc>
        <w:tc>
          <w:tcPr>
            <w:tcW w:w="1705" w:type="dxa"/>
            <w:tcBorders>
              <w:bottom w:val="single" w:color="000000" w:sz="12" w:space="0"/>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燃气锅炉</w:t>
            </w:r>
          </w:p>
        </w:tc>
        <w:tc>
          <w:tcPr>
            <w:tcW w:w="1705" w:type="dxa"/>
            <w:vMerge w:val="continue"/>
            <w:tcBorders>
              <w:top w:val="nil"/>
              <w:bottom w:val="single" w:color="000000" w:sz="12" w:space="0"/>
            </w:tcBorders>
          </w:tcPr>
          <w:p>
            <w:pPr>
              <w:spacing w:line="360" w:lineRule="auto"/>
              <w:jc w:val="left"/>
              <w:rPr>
                <w:rFonts w:ascii="宋体" w:hAnsi="宋体" w:eastAsia="宋体" w:cs="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Borders>
              <w:top w:val="single" w:color="auto" w:sz="12" w:space="0"/>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颗粒物</w:t>
            </w:r>
          </w:p>
        </w:tc>
        <w:tc>
          <w:tcPr>
            <w:tcW w:w="1704" w:type="dxa"/>
            <w:tcBorders>
              <w:top w:val="single" w:color="auto" w:sz="12" w:space="0"/>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50</w:t>
            </w:r>
          </w:p>
        </w:tc>
        <w:tc>
          <w:tcPr>
            <w:tcW w:w="1704" w:type="dxa"/>
            <w:tcBorders>
              <w:top w:val="single" w:color="auto" w:sz="12" w:space="0"/>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30</w:t>
            </w:r>
          </w:p>
        </w:tc>
        <w:tc>
          <w:tcPr>
            <w:tcW w:w="1705" w:type="dxa"/>
            <w:tcBorders>
              <w:top w:val="single" w:color="000000" w:sz="12" w:space="0"/>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20</w:t>
            </w:r>
          </w:p>
        </w:tc>
        <w:tc>
          <w:tcPr>
            <w:tcW w:w="1705" w:type="dxa"/>
            <w:vMerge w:val="restart"/>
            <w:tcBorders>
              <w:top w:val="single" w:color="000000" w:sz="12" w:space="0"/>
              <w:bottom w:val="single" w:color="auto" w:sz="4" w:space="0"/>
            </w:tcBorders>
            <w:vAlign w:val="center"/>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烟囱或烟道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Borders>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themeColor="text1"/>
                <w:szCs w:val="21"/>
              </w:rPr>
              <w:t>二氧化硫</w:t>
            </w:r>
          </w:p>
        </w:tc>
        <w:tc>
          <w:tcPr>
            <w:tcW w:w="1704" w:type="dxa"/>
            <w:tcBorders>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300</w:t>
            </w:r>
          </w:p>
        </w:tc>
        <w:tc>
          <w:tcPr>
            <w:tcW w:w="1704" w:type="dxa"/>
            <w:tcBorders>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200</w:t>
            </w:r>
          </w:p>
        </w:tc>
        <w:tc>
          <w:tcPr>
            <w:tcW w:w="1705" w:type="dxa"/>
            <w:tcBorders>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50</w:t>
            </w:r>
          </w:p>
        </w:tc>
        <w:tc>
          <w:tcPr>
            <w:tcW w:w="1705" w:type="dxa"/>
            <w:vMerge w:val="continue"/>
            <w:tcBorders>
              <w:top w:val="single" w:color="auto" w:sz="4" w:space="0"/>
              <w:bottom w:val="single" w:color="auto" w:sz="4" w:space="0"/>
            </w:tcBorders>
          </w:tcPr>
          <w:p>
            <w:pPr>
              <w:spacing w:line="360" w:lineRule="auto"/>
              <w:jc w:val="left"/>
              <w:rPr>
                <w:rFonts w:ascii="宋体" w:hAnsi="宋体" w:eastAsia="宋体" w:cs="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Borders>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氮氧化物</w:t>
            </w:r>
          </w:p>
        </w:tc>
        <w:tc>
          <w:tcPr>
            <w:tcW w:w="1704" w:type="dxa"/>
            <w:tcBorders>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300</w:t>
            </w:r>
          </w:p>
        </w:tc>
        <w:tc>
          <w:tcPr>
            <w:tcW w:w="1704" w:type="dxa"/>
            <w:tcBorders>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250</w:t>
            </w:r>
          </w:p>
        </w:tc>
        <w:tc>
          <w:tcPr>
            <w:tcW w:w="1705" w:type="dxa"/>
            <w:tcBorders>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200</w:t>
            </w:r>
          </w:p>
        </w:tc>
        <w:tc>
          <w:tcPr>
            <w:tcW w:w="1705" w:type="dxa"/>
            <w:vMerge w:val="continue"/>
            <w:tcBorders>
              <w:top w:val="single" w:color="auto" w:sz="4" w:space="0"/>
              <w:bottom w:val="single" w:color="auto" w:sz="4" w:space="0"/>
            </w:tcBorders>
          </w:tcPr>
          <w:p>
            <w:pPr>
              <w:spacing w:line="360" w:lineRule="auto"/>
              <w:jc w:val="left"/>
              <w:rPr>
                <w:rFonts w:ascii="宋体" w:hAnsi="宋体" w:eastAsia="宋体" w:cs="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Borders>
              <w:tl2br w:val="nil"/>
              <w:tr2bl w:val="nil"/>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烟气黑度</w:t>
            </w:r>
          </w:p>
        </w:tc>
        <w:tc>
          <w:tcPr>
            <w:tcW w:w="5113" w:type="dxa"/>
            <w:gridSpan w:val="3"/>
            <w:tcBorders>
              <w:tl2br w:val="nil"/>
              <w:tr2bl w:val="nil"/>
            </w:tcBorders>
          </w:tcPr>
          <w:p>
            <w:pPr>
              <w:spacing w:line="360" w:lineRule="auto"/>
              <w:jc w:val="center"/>
              <w:rPr>
                <w:rFonts w:ascii="宋体" w:hAnsi="宋体" w:eastAsia="宋体" w:cs="宋体"/>
                <w:color w:val="000000"/>
                <w:szCs w:val="21"/>
              </w:rPr>
            </w:pPr>
            <w:r>
              <w:rPr>
                <w:rFonts w:ascii="Arial" w:hAnsi="Arial" w:eastAsia="宋体" w:cs="Arial"/>
                <w:color w:val="000000"/>
                <w:szCs w:val="21"/>
              </w:rPr>
              <w:t>≤</w:t>
            </w:r>
            <w:r>
              <w:rPr>
                <w:rFonts w:hint="eastAsia" w:ascii="宋体" w:hAnsi="宋体" w:eastAsia="宋体" w:cs="宋体"/>
                <w:color w:val="000000"/>
                <w:szCs w:val="21"/>
              </w:rPr>
              <w:t>1</w:t>
            </w:r>
          </w:p>
        </w:tc>
        <w:tc>
          <w:tcPr>
            <w:tcW w:w="1705" w:type="dxa"/>
            <w:tcBorders>
              <w:top w:val="single" w:color="auto" w:sz="4" w:space="0"/>
            </w:tcBorders>
          </w:tcPr>
          <w:p>
            <w:pPr>
              <w:spacing w:line="360" w:lineRule="auto"/>
              <w:jc w:val="center"/>
              <w:rPr>
                <w:rFonts w:ascii="宋体" w:hAnsi="宋体" w:eastAsia="宋体" w:cs="宋体"/>
                <w:color w:val="000000"/>
                <w:szCs w:val="21"/>
              </w:rPr>
            </w:pPr>
            <w:r>
              <w:rPr>
                <w:rFonts w:hint="eastAsia" w:ascii="宋体" w:hAnsi="宋体" w:eastAsia="宋体" w:cs="宋体"/>
                <w:color w:val="000000"/>
                <w:szCs w:val="21"/>
              </w:rPr>
              <w:t>烟囱排放口</w:t>
            </w:r>
          </w:p>
        </w:tc>
      </w:tr>
    </w:tbl>
    <w:p>
      <w:pPr>
        <w:spacing w:line="360" w:lineRule="auto"/>
        <w:rPr>
          <w:rFonts w:ascii="宋体" w:hAnsi="宋体" w:eastAsia="宋体" w:cs="宋体"/>
          <w:b/>
          <w:bCs/>
          <w:szCs w:val="21"/>
        </w:rPr>
      </w:pPr>
    </w:p>
    <w:p>
      <w:pPr>
        <w:spacing w:line="360" w:lineRule="auto"/>
        <w:outlineLvl w:val="2"/>
        <w:rPr>
          <w:rFonts w:ascii="宋体" w:hAnsi="宋体" w:eastAsia="宋体" w:cs="宋体"/>
          <w:b/>
          <w:bCs/>
          <w:sz w:val="28"/>
          <w:szCs w:val="28"/>
        </w:rPr>
      </w:pPr>
      <w:bookmarkStart w:id="5" w:name="_Toc14673"/>
      <w:r>
        <w:rPr>
          <w:rFonts w:hint="eastAsia" w:ascii="宋体" w:hAnsi="宋体" w:eastAsia="宋体" w:cs="宋体"/>
          <w:b/>
          <w:bCs/>
          <w:sz w:val="28"/>
          <w:szCs w:val="28"/>
        </w:rPr>
        <w:t>2.2.2噪声执行标准</w:t>
      </w:r>
      <w:bookmarkEnd w:id="5"/>
    </w:p>
    <w:p>
      <w:pPr>
        <w:spacing w:line="360" w:lineRule="auto"/>
        <w:ind w:firstLine="560" w:firstLineChars="200"/>
        <w:rPr>
          <w:rFonts w:ascii="宋体" w:hAnsi="宋体" w:eastAsia="宋体" w:cs="宋体"/>
          <w:b/>
          <w:color w:val="000000"/>
          <w:sz w:val="10"/>
          <w:szCs w:val="10"/>
        </w:rPr>
      </w:pPr>
      <w:r>
        <w:rPr>
          <w:rFonts w:hint="eastAsia" w:ascii="宋体" w:hAnsi="宋体" w:eastAsia="宋体" w:cs="宋体"/>
          <w:color w:val="000000" w:themeColor="text1"/>
          <w:sz w:val="28"/>
          <w:szCs w:val="28"/>
        </w:rPr>
        <w:t>本项目环评报告中未给出噪声排放执行标准，根据项目实际情况监测单位认为该项目运营期应执行《工业企业厂界环境噪声排放标准》（GB12348-2008）的2类标准。</w:t>
      </w:r>
    </w:p>
    <w:p>
      <w:pPr>
        <w:pStyle w:val="3"/>
        <w:spacing w:line="500" w:lineRule="exact"/>
        <w:ind w:firstLine="0" w:firstLineChars="0"/>
        <w:jc w:val="center"/>
        <w:rPr>
          <w:rFonts w:ascii="宋体" w:hAnsi="宋体" w:eastAsia="宋体" w:cs="宋体"/>
          <w:sz w:val="28"/>
          <w:szCs w:val="28"/>
        </w:rPr>
      </w:pPr>
      <w:r>
        <w:rPr>
          <w:rFonts w:hint="eastAsia" w:ascii="宋体" w:hAnsi="宋体" w:eastAsia="宋体" w:cs="宋体"/>
          <w:b/>
          <w:color w:val="000000"/>
          <w:sz w:val="21"/>
          <w:szCs w:val="21"/>
        </w:rPr>
        <w:t>表6-2  工业企业厂界环境噪声排放标准</w:t>
      </w:r>
    </w:p>
    <w:tbl>
      <w:tblPr>
        <w:tblStyle w:val="12"/>
        <w:tblW w:w="85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704"/>
        <w:gridCol w:w="1704"/>
        <w:gridCol w:w="3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vMerge w:val="restart"/>
            <w:tcBorders>
              <w:top w:val="single" w:color="auto" w:sz="12" w:space="0"/>
              <w:left w:val="nil"/>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类别</w:t>
            </w:r>
          </w:p>
        </w:tc>
        <w:tc>
          <w:tcPr>
            <w:tcW w:w="3408" w:type="dxa"/>
            <w:gridSpan w:val="2"/>
            <w:tcBorders>
              <w:top w:val="single" w:color="auto" w:sz="12"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标准限值dB（A）</w:t>
            </w:r>
          </w:p>
        </w:tc>
        <w:tc>
          <w:tcPr>
            <w:tcW w:w="3433" w:type="dxa"/>
            <w:tcBorders>
              <w:top w:val="single" w:color="auto" w:sz="12" w:space="0"/>
              <w:right w:val="nil"/>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标准依据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vMerge w:val="continue"/>
            <w:tcBorders>
              <w:left w:val="nil"/>
            </w:tcBorders>
            <w:vAlign w:val="center"/>
          </w:tcPr>
          <w:p>
            <w:pPr>
              <w:spacing w:line="360" w:lineRule="auto"/>
              <w:jc w:val="center"/>
              <w:rPr>
                <w:rFonts w:ascii="宋体" w:hAnsi="宋体" w:eastAsia="宋体" w:cs="宋体"/>
                <w:szCs w:val="21"/>
              </w:rPr>
            </w:pPr>
          </w:p>
        </w:tc>
        <w:tc>
          <w:tcPr>
            <w:tcW w:w="1704"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昼间</w:t>
            </w:r>
          </w:p>
        </w:tc>
        <w:tc>
          <w:tcPr>
            <w:tcW w:w="1704"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夜间</w:t>
            </w:r>
          </w:p>
        </w:tc>
        <w:tc>
          <w:tcPr>
            <w:tcW w:w="3433" w:type="dxa"/>
            <w:vMerge w:val="restart"/>
            <w:tcBorders>
              <w:right w:val="nil"/>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《工业企业厂界环境噪声排放标准》（GB12348-2008）2类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tcBorders>
              <w:left w:val="nil"/>
              <w:bottom w:val="single" w:color="auto" w:sz="12"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厂界噪声</w:t>
            </w:r>
          </w:p>
        </w:tc>
        <w:tc>
          <w:tcPr>
            <w:tcW w:w="1704" w:type="dxa"/>
            <w:tcBorders>
              <w:bottom w:val="single" w:color="auto" w:sz="12"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60</w:t>
            </w:r>
          </w:p>
        </w:tc>
        <w:tc>
          <w:tcPr>
            <w:tcW w:w="1704" w:type="dxa"/>
            <w:tcBorders>
              <w:bottom w:val="single" w:color="auto" w:sz="12"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50</w:t>
            </w:r>
          </w:p>
        </w:tc>
        <w:tc>
          <w:tcPr>
            <w:tcW w:w="3433" w:type="dxa"/>
            <w:vMerge w:val="continue"/>
            <w:tcBorders>
              <w:bottom w:val="single" w:color="auto" w:sz="12" w:space="0"/>
              <w:right w:val="nil"/>
            </w:tcBorders>
          </w:tcPr>
          <w:p>
            <w:pPr>
              <w:spacing w:line="360" w:lineRule="auto"/>
              <w:rPr>
                <w:rFonts w:ascii="宋体" w:hAnsi="宋体" w:eastAsia="宋体" w:cs="宋体"/>
                <w:szCs w:val="21"/>
              </w:rPr>
            </w:pPr>
          </w:p>
        </w:tc>
      </w:tr>
    </w:tbl>
    <w:p>
      <w:pPr>
        <w:spacing w:line="360" w:lineRule="auto"/>
        <w:rPr>
          <w:rFonts w:ascii="宋体" w:hAnsi="宋体" w:eastAsia="宋体" w:cs="宋体"/>
          <w:b/>
          <w:bCs/>
          <w:sz w:val="18"/>
          <w:szCs w:val="18"/>
        </w:rPr>
      </w:pPr>
    </w:p>
    <w:p>
      <w:pPr>
        <w:spacing w:line="360" w:lineRule="auto"/>
        <w:outlineLvl w:val="2"/>
        <w:rPr>
          <w:rFonts w:ascii="宋体" w:hAnsi="宋体" w:eastAsia="宋体" w:cs="宋体"/>
          <w:b/>
          <w:bCs/>
          <w:sz w:val="28"/>
          <w:szCs w:val="28"/>
        </w:rPr>
      </w:pPr>
      <w:bookmarkStart w:id="6" w:name="_Toc23277"/>
      <w:r>
        <w:rPr>
          <w:rFonts w:hint="eastAsia" w:ascii="宋体" w:hAnsi="宋体" w:eastAsia="宋体" w:cs="宋体"/>
          <w:b/>
          <w:bCs/>
          <w:sz w:val="28"/>
          <w:szCs w:val="28"/>
        </w:rPr>
        <w:t>2.2.3污水执行标准</w:t>
      </w:r>
      <w:bookmarkEnd w:id="6"/>
    </w:p>
    <w:p>
      <w:pPr>
        <w:spacing w:line="360" w:lineRule="auto"/>
        <w:rPr>
          <w:rFonts w:ascii="宋体" w:hAnsi="宋体" w:eastAsia="宋体" w:cs="宋体"/>
          <w:color w:val="000000" w:themeColor="text1"/>
          <w:sz w:val="28"/>
          <w:szCs w:val="28"/>
        </w:rPr>
      </w:pPr>
      <w:r>
        <w:rPr>
          <w:rFonts w:hint="eastAsia" w:ascii="宋体" w:hAnsi="宋体" w:eastAsia="宋体" w:cs="宋体"/>
          <w:sz w:val="28"/>
          <w:szCs w:val="28"/>
        </w:rPr>
        <w:t xml:space="preserve">   本项目生活污水排入化粪池内，建设单位委托</w:t>
      </w:r>
      <w:r>
        <w:rPr>
          <w:rFonts w:hint="eastAsia" w:ascii="宋体" w:hAnsi="宋体" w:eastAsia="宋体" w:cs="宋体"/>
          <w:color w:val="000000" w:themeColor="text1"/>
          <w:sz w:val="28"/>
          <w:szCs w:val="28"/>
        </w:rPr>
        <w:t>呼和浩特市大禹排水综合服务有限公司定期清运，拉运至呼和浩特海纳源清水环境发展有限责任公司金桥污水处理厂进行处理。</w:t>
      </w: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outlineLvl w:val="0"/>
        <w:rPr>
          <w:rFonts w:ascii="宋体" w:hAnsi="宋体" w:eastAsia="宋体" w:cs="宋体"/>
          <w:b/>
          <w:bCs/>
          <w:sz w:val="28"/>
          <w:szCs w:val="28"/>
        </w:rPr>
      </w:pPr>
      <w:bookmarkStart w:id="7" w:name="_Toc18981"/>
      <w:r>
        <w:rPr>
          <w:rFonts w:hint="eastAsia" w:ascii="宋体" w:hAnsi="宋体" w:eastAsia="宋体" w:cs="宋体"/>
          <w:b/>
          <w:bCs/>
          <w:sz w:val="28"/>
          <w:szCs w:val="28"/>
        </w:rPr>
        <w:t>3工程概况</w:t>
      </w:r>
      <w:bookmarkEnd w:id="7"/>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项目名称：</w:t>
      </w:r>
      <w:r>
        <w:rPr>
          <w:rFonts w:hint="eastAsia" w:ascii="宋体" w:hAnsi="宋体" w:eastAsia="宋体" w:cs="宋体"/>
          <w:color w:val="000000"/>
          <w:sz w:val="28"/>
          <w:szCs w:val="28"/>
        </w:rPr>
        <w:t>内蒙古大青山太伟度假村产权式酒店一期工程</w:t>
      </w:r>
      <w:r>
        <w:rPr>
          <w:rFonts w:hint="eastAsia"/>
          <w:color w:val="000000"/>
          <w:sz w:val="28"/>
          <w:szCs w:val="28"/>
        </w:rPr>
        <w:t>。</w:t>
      </w:r>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建设单位：</w:t>
      </w:r>
      <w:r>
        <w:rPr>
          <w:rFonts w:hint="eastAsia" w:ascii="宋体" w:hAnsi="宋体" w:eastAsia="宋体" w:cs="宋体"/>
          <w:color w:val="000000"/>
          <w:sz w:val="28"/>
          <w:szCs w:val="28"/>
        </w:rPr>
        <w:t>内蒙古大青山太伟运动休闲度假村开发有限公司</w:t>
      </w:r>
      <w:r>
        <w:rPr>
          <w:rFonts w:hint="eastAsia" w:ascii="宋体" w:hAnsi="宋体" w:eastAsia="宋体" w:cs="宋体"/>
          <w:sz w:val="28"/>
          <w:szCs w:val="28"/>
        </w:rPr>
        <w:t>。</w:t>
      </w:r>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建设性质：新建。</w:t>
      </w:r>
    </w:p>
    <w:p>
      <w:pPr>
        <w:spacing w:line="360" w:lineRule="auto"/>
        <w:ind w:firstLine="560" w:firstLineChars="200"/>
        <w:rPr>
          <w:rFonts w:ascii="宋体" w:hAnsi="宋体" w:eastAsia="宋体" w:cs="宋体"/>
          <w:b/>
          <w:bCs/>
          <w:sz w:val="28"/>
          <w:szCs w:val="28"/>
        </w:rPr>
      </w:pPr>
      <w:r>
        <w:rPr>
          <w:rFonts w:hint="eastAsia" w:ascii="宋体" w:hAnsi="宋体" w:eastAsia="宋体" w:cs="宋体"/>
          <w:sz w:val="28"/>
          <w:szCs w:val="28"/>
        </w:rPr>
        <w:t>工程总投资：</w:t>
      </w:r>
      <w:r>
        <w:rPr>
          <w:rFonts w:hint="eastAsia" w:ascii="宋体" w:hAnsi="宋体" w:eastAsia="宋体" w:cs="宋体"/>
          <w:color w:val="000000" w:themeColor="text1"/>
          <w:sz w:val="28"/>
          <w:szCs w:val="28"/>
        </w:rPr>
        <w:t>工程实际总投资21886.87万元，其中环保投资5104.54万元，占总投资的23.32%。</w:t>
      </w:r>
    </w:p>
    <w:p>
      <w:pPr>
        <w:spacing w:line="360" w:lineRule="auto"/>
        <w:outlineLvl w:val="1"/>
        <w:rPr>
          <w:rFonts w:ascii="宋体" w:hAnsi="宋体" w:eastAsia="宋体" w:cs="宋体"/>
          <w:b/>
          <w:bCs/>
          <w:sz w:val="28"/>
          <w:szCs w:val="28"/>
        </w:rPr>
      </w:pPr>
      <w:bookmarkStart w:id="8" w:name="_Toc10376"/>
      <w:r>
        <w:rPr>
          <w:rFonts w:hint="eastAsia" w:ascii="宋体" w:hAnsi="宋体" w:eastAsia="宋体" w:cs="宋体"/>
          <w:b/>
          <w:bCs/>
          <w:sz w:val="28"/>
          <w:szCs w:val="28"/>
        </w:rPr>
        <w:t>3.1项目地理位置</w:t>
      </w:r>
      <w:bookmarkEnd w:id="8"/>
    </w:p>
    <w:p>
      <w:pPr>
        <w:spacing w:line="360" w:lineRule="auto"/>
        <w:ind w:firstLine="560" w:firstLineChars="200"/>
        <w:rPr>
          <w:rFonts w:ascii="宋体" w:hAnsi="宋体" w:eastAsia="宋体" w:cs="宋体"/>
          <w:color w:val="000000"/>
          <w:sz w:val="28"/>
          <w:szCs w:val="28"/>
        </w:rPr>
      </w:pPr>
      <w:r>
        <w:rPr>
          <w:rFonts w:hint="eastAsia" w:ascii="宋体" w:hAnsi="宋体" w:eastAsia="宋体" w:cs="宋体"/>
          <w:color w:val="000000"/>
          <w:sz w:val="28"/>
          <w:szCs w:val="28"/>
        </w:rPr>
        <w:t>内蒙古大青山太伟度假村产权式酒店一期工程位于呼和浩特市新城区保合少乡所属的古路板村与水磨村之间，项目总占地面积</w:t>
      </w:r>
      <w:r>
        <w:rPr>
          <w:rFonts w:hint="eastAsia" w:ascii="宋体" w:hAnsi="宋体" w:eastAsia="宋体" w:cs="宋体"/>
          <w:color w:val="000000" w:themeColor="text1"/>
          <w:sz w:val="28"/>
          <w:szCs w:val="28"/>
        </w:rPr>
        <w:t>57125.4</w:t>
      </w:r>
      <w:r>
        <w:rPr>
          <w:rFonts w:hint="eastAsia" w:ascii="宋体" w:hAnsi="宋体" w:eastAsia="宋体" w:cs="宋体"/>
          <w:color w:val="000000"/>
          <w:sz w:val="28"/>
          <w:szCs w:val="28"/>
        </w:rPr>
        <w:t>m</w:t>
      </w:r>
      <w:r>
        <w:rPr>
          <w:rFonts w:hint="eastAsia" w:ascii="宋体" w:hAnsi="宋体" w:eastAsia="宋体" w:cs="宋体"/>
          <w:color w:val="000000"/>
          <w:sz w:val="28"/>
          <w:szCs w:val="28"/>
          <w:vertAlign w:val="superscript"/>
        </w:rPr>
        <w:t>2</w:t>
      </w:r>
      <w:r>
        <w:rPr>
          <w:rFonts w:hint="eastAsia" w:ascii="宋体" w:hAnsi="宋体" w:eastAsia="宋体" w:cs="宋体"/>
          <w:color w:val="000000"/>
          <w:sz w:val="28"/>
          <w:szCs w:val="28"/>
        </w:rPr>
        <w:t>。</w:t>
      </w:r>
    </w:p>
    <w:p>
      <w:pPr>
        <w:spacing w:line="360" w:lineRule="auto"/>
        <w:ind w:firstLine="480" w:firstLineChars="200"/>
        <w:rPr>
          <w:rFonts w:ascii="宋体" w:hAnsi="宋体" w:eastAsia="宋体" w:cs="宋体"/>
          <w:color w:val="000000"/>
          <w:sz w:val="28"/>
          <w:szCs w:val="28"/>
        </w:rPr>
      </w:pPr>
      <w:r>
        <w:rPr>
          <w:sz w:val="24"/>
        </w:rPr>
        <w:pict>
          <v:shape id="_x0000_s1026" o:spid="_x0000_s1026" o:spt="41" type="#_x0000_t41" style="position:absolute;left:0pt;margin-left:317.4pt;margin-top:25pt;height:29.35pt;width:74.45pt;z-index:251658240;v-text-anchor:middle;mso-width-relative:page;mso-height-relative:page;" fillcolor="#5B9BD5 [3204]" filled="t" stroked="t" coordsize="21600,21600" o:gfxdata="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BviE7z2gAAAAoBAAAPAAAAAAAAAAEAIAAAACIAAABkcnMvZG93bnJldi54bWxQSwEC&#10;FAAUAAAACACHTuJAVNRZAZ0CAAD2BAAADgAAAAAAAAABACAAAAApAQAAZHJzL2Uyb0RvYy54bWxQ&#10;SwUGAAAAAAYABgBZAQAAOAYAAAAA&#10;">
            <v:path arrowok="t"/>
            <v:fill on="t" focussize="0,0"/>
            <v:stroke weight="1pt" color="#41719C" joinstyle="miter"/>
            <v:imagedata o:title=""/>
            <o:lock v:ext="edit"/>
            <v:textbox>
              <w:txbxContent>
                <w:p>
                  <w:pPr>
                    <w:jc w:val="center"/>
                  </w:pPr>
                  <w:r>
                    <w:rPr>
                      <w:rFonts w:hint="eastAsia"/>
                    </w:rPr>
                    <w:t>太伟度假村</w:t>
                  </w:r>
                </w:p>
              </w:txbxContent>
            </v:textbox>
          </v:shape>
        </w:pict>
      </w:r>
      <w:r>
        <w:rPr>
          <w:rFonts w:hint="eastAsia" w:ascii="宋体" w:hAnsi="宋体" w:eastAsia="宋体" w:cs="宋体"/>
          <w:color w:val="000000"/>
          <w:sz w:val="28"/>
          <w:szCs w:val="28"/>
        </w:rPr>
        <w:t>项目地理位置图见图3.1,产权式酒店平面布置图见图3.2。</w:t>
      </w:r>
    </w:p>
    <w:p>
      <w:pPr>
        <w:widowControl/>
        <w:jc w:val="left"/>
        <w:rPr>
          <w:rFonts w:ascii="宋体" w:hAnsi="宋体" w:eastAsia="宋体" w:cs="宋体"/>
        </w:rPr>
      </w:pPr>
      <w:r>
        <w:rPr>
          <w:rFonts w:ascii="宋体" w:hAnsi="宋体" w:eastAsia="宋体" w:cs="宋体"/>
          <w:kern w:val="0"/>
          <w:sz w:val="24"/>
        </w:rPr>
        <w:drawing>
          <wp:inline distT="0" distB="0" distL="114300" distR="114300">
            <wp:extent cx="5306695" cy="3437255"/>
            <wp:effectExtent l="0" t="0" r="12065" b="6985"/>
            <wp:docPr id="8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 descr="IMG_256"/>
                    <pic:cNvPicPr>
                      <a:picLocks noChangeAspect="1"/>
                    </pic:cNvPicPr>
                  </pic:nvPicPr>
                  <pic:blipFill>
                    <a:blip r:embed="rId7"/>
                    <a:stretch>
                      <a:fillRect/>
                    </a:stretch>
                  </pic:blipFill>
                  <pic:spPr>
                    <a:xfrm>
                      <a:off x="0" y="0"/>
                      <a:ext cx="5306695" cy="3437255"/>
                    </a:xfrm>
                    <a:prstGeom prst="rect">
                      <a:avLst/>
                    </a:prstGeom>
                    <a:noFill/>
                    <a:ln w="9525">
                      <a:noFill/>
                    </a:ln>
                  </pic:spPr>
                </pic:pic>
              </a:graphicData>
            </a:graphic>
          </wp:inline>
        </w:drawing>
      </w:r>
    </w:p>
    <w:p>
      <w:pPr>
        <w:spacing w:line="360" w:lineRule="auto"/>
        <w:jc w:val="center"/>
        <w:rPr>
          <w:rFonts w:ascii="宋体" w:hAnsi="宋体" w:eastAsia="宋体" w:cs="宋体"/>
          <w:b/>
          <w:bCs/>
          <w:color w:val="000000"/>
          <w:szCs w:val="21"/>
        </w:rPr>
      </w:pPr>
      <w:r>
        <w:rPr>
          <w:rFonts w:hint="eastAsia" w:ascii="宋体" w:hAnsi="宋体" w:eastAsia="宋体" w:cs="宋体"/>
          <w:b/>
          <w:bCs/>
          <w:color w:val="000000"/>
          <w:szCs w:val="21"/>
        </w:rPr>
        <w:t>图3.1  本项目地理位置图</w:t>
      </w:r>
    </w:p>
    <w:p>
      <w:pPr>
        <w:spacing w:line="360" w:lineRule="auto"/>
        <w:jc w:val="center"/>
        <w:rPr>
          <w:rFonts w:ascii="宋体" w:hAnsi="宋体" w:eastAsia="宋体" w:cs="宋体"/>
          <w:b/>
          <w:bCs/>
          <w:sz w:val="28"/>
          <w:szCs w:val="28"/>
        </w:rPr>
      </w:pPr>
      <w:r>
        <w:rPr>
          <w:rFonts w:hint="eastAsia" w:ascii="宋体" w:hAnsi="宋体" w:eastAsia="宋体" w:cs="宋体"/>
          <w:b/>
          <w:bCs/>
          <w:sz w:val="28"/>
          <w:szCs w:val="28"/>
        </w:rPr>
        <w:drawing>
          <wp:inline distT="0" distB="0" distL="114300" distR="114300">
            <wp:extent cx="4123690" cy="5311775"/>
            <wp:effectExtent l="0" t="0" r="6350" b="6985"/>
            <wp:docPr id="3" name="图片 3" descr="webwxgetmsg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ebwxgetmsgimg"/>
                    <pic:cNvPicPr>
                      <a:picLocks noChangeAspect="1"/>
                    </pic:cNvPicPr>
                  </pic:nvPicPr>
                  <pic:blipFill>
                    <a:blip r:embed="rId8"/>
                    <a:stretch>
                      <a:fillRect/>
                    </a:stretch>
                  </pic:blipFill>
                  <pic:spPr>
                    <a:xfrm>
                      <a:off x="0" y="0"/>
                      <a:ext cx="4123690" cy="5311775"/>
                    </a:xfrm>
                    <a:prstGeom prst="rect">
                      <a:avLst/>
                    </a:prstGeom>
                  </pic:spPr>
                </pic:pic>
              </a:graphicData>
            </a:graphic>
          </wp:inline>
        </w:drawing>
      </w:r>
    </w:p>
    <w:p>
      <w:pPr>
        <w:spacing w:line="360" w:lineRule="auto"/>
        <w:jc w:val="center"/>
        <w:rPr>
          <w:rFonts w:ascii="宋体" w:hAnsi="宋体" w:eastAsia="宋体" w:cs="宋体"/>
          <w:b/>
          <w:bCs/>
          <w:color w:val="000000"/>
          <w:szCs w:val="21"/>
        </w:rPr>
      </w:pPr>
      <w:r>
        <w:rPr>
          <w:rFonts w:hint="eastAsia" w:ascii="宋体" w:hAnsi="宋体" w:eastAsia="宋体" w:cs="宋体"/>
          <w:b/>
          <w:bCs/>
          <w:color w:val="000000"/>
          <w:szCs w:val="21"/>
        </w:rPr>
        <w:t>图3.2  产权式酒店平面布置图</w:t>
      </w:r>
    </w:p>
    <w:p>
      <w:pPr>
        <w:spacing w:line="360" w:lineRule="auto"/>
        <w:outlineLvl w:val="1"/>
        <w:rPr>
          <w:rFonts w:ascii="宋体" w:hAnsi="宋体" w:eastAsia="宋体" w:cs="宋体"/>
          <w:b/>
          <w:bCs/>
          <w:sz w:val="28"/>
          <w:szCs w:val="28"/>
        </w:rPr>
      </w:pPr>
      <w:bookmarkStart w:id="9" w:name="_Toc20653"/>
      <w:r>
        <w:rPr>
          <w:rFonts w:hint="eastAsia" w:ascii="宋体" w:hAnsi="宋体" w:eastAsia="宋体" w:cs="宋体"/>
          <w:b/>
          <w:bCs/>
          <w:sz w:val="28"/>
          <w:szCs w:val="28"/>
        </w:rPr>
        <w:t>3.2项目建设内容</w:t>
      </w:r>
      <w:bookmarkEnd w:id="9"/>
    </w:p>
    <w:p>
      <w:pPr>
        <w:pStyle w:val="3"/>
        <w:spacing w:line="360" w:lineRule="auto"/>
        <w:ind w:firstLine="560"/>
        <w:rPr>
          <w:rFonts w:ascii="宋体" w:hAnsi="宋体" w:eastAsia="宋体" w:cs="宋体"/>
          <w:color w:val="000000" w:themeColor="text1"/>
          <w:sz w:val="28"/>
          <w:szCs w:val="28"/>
        </w:rPr>
      </w:pPr>
      <w:r>
        <w:rPr>
          <w:rFonts w:hint="eastAsia" w:ascii="宋体" w:hAnsi="宋体" w:eastAsia="宋体" w:cs="宋体"/>
          <w:color w:val="000000"/>
          <w:sz w:val="28"/>
          <w:szCs w:val="28"/>
        </w:rPr>
        <w:t>本项目的主要建设内容为产权式酒店一期、高尔夫球场、</w:t>
      </w:r>
      <w:r>
        <w:rPr>
          <w:rFonts w:hint="eastAsia" w:ascii="宋体" w:hAnsi="宋体" w:eastAsia="宋体" w:cs="宋体"/>
          <w:color w:val="000000" w:themeColor="text1"/>
          <w:sz w:val="28"/>
          <w:szCs w:val="28"/>
        </w:rPr>
        <w:t>游泳馆、滑雪场、人工湖及附属配套设施，会所及高尔夫球场等工程建设内容已于2008年4月30日经呼和浩特市新城区环境保护局同意通过验收。本次验收范围为39栋</w:t>
      </w:r>
      <w:r>
        <w:rPr>
          <w:rFonts w:hint="eastAsia" w:ascii="宋体" w:hAnsi="宋体" w:eastAsia="宋体" w:cs="宋体"/>
          <w:color w:val="000000"/>
          <w:sz w:val="28"/>
          <w:szCs w:val="28"/>
        </w:rPr>
        <w:t>产权式酒店一期建设工程</w:t>
      </w:r>
      <w:r>
        <w:rPr>
          <w:rFonts w:hint="eastAsia" w:ascii="宋体" w:hAnsi="宋体" w:eastAsia="宋体" w:cs="宋体"/>
          <w:color w:val="000000" w:themeColor="text1"/>
          <w:sz w:val="28"/>
          <w:szCs w:val="28"/>
        </w:rPr>
        <w:t>及3台燃气锅炉。</w:t>
      </w:r>
    </w:p>
    <w:p>
      <w:pPr>
        <w:pStyle w:val="3"/>
        <w:spacing w:line="360" w:lineRule="auto"/>
        <w:ind w:firstLine="560"/>
        <w:rPr>
          <w:rFonts w:ascii="宋体" w:hAnsi="宋体" w:eastAsia="宋体" w:cs="宋体"/>
          <w:color w:val="000000" w:themeColor="text1"/>
          <w:sz w:val="28"/>
          <w:szCs w:val="28"/>
        </w:rPr>
      </w:pPr>
      <w:r>
        <w:rPr>
          <w:rFonts w:hint="eastAsia" w:ascii="宋体" w:hAnsi="宋体" w:eastAsia="宋体" w:cs="宋体"/>
          <w:color w:val="000000"/>
          <w:sz w:val="28"/>
          <w:szCs w:val="28"/>
        </w:rPr>
        <w:t>产权式酒店</w:t>
      </w:r>
      <w:r>
        <w:rPr>
          <w:rFonts w:hint="eastAsia" w:ascii="宋体" w:hAnsi="宋体" w:eastAsia="宋体" w:cs="宋体"/>
          <w:color w:val="000000" w:themeColor="text1"/>
          <w:sz w:val="28"/>
          <w:szCs w:val="28"/>
        </w:rPr>
        <w:t>建筑面积23358.79m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，占地面积57125.4m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。配套建设化粪池6座，将原有2台燃煤锅炉更换为3台燃气锅炉。</w:t>
      </w:r>
    </w:p>
    <w:p>
      <w:pPr>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本项目共设置2座锅炉房，北锅炉房是将原有燃煤锅炉改建为燃气锅炉，南锅炉房为新建锅炉房。</w:t>
      </w:r>
    </w:p>
    <w:p>
      <w:pPr>
        <w:pStyle w:val="3"/>
        <w:spacing w:line="360" w:lineRule="auto"/>
        <w:ind w:firstLine="560"/>
        <w:rPr>
          <w:rFonts w:ascii="宋体" w:hAnsi="宋体" w:eastAsia="宋体" w:cs="宋体"/>
          <w:color w:val="000000"/>
          <w:sz w:val="28"/>
          <w:szCs w:val="28"/>
        </w:rPr>
      </w:pPr>
      <w:r>
        <w:rPr>
          <w:rFonts w:hint="eastAsia" w:ascii="宋体" w:hAnsi="宋体" w:eastAsia="宋体" w:cs="宋体"/>
          <w:color w:val="000000"/>
          <w:sz w:val="28"/>
          <w:szCs w:val="28"/>
        </w:rPr>
        <w:t>本工程的项目组成情况见表3-1。</w:t>
      </w:r>
    </w:p>
    <w:p>
      <w:pPr>
        <w:pStyle w:val="3"/>
        <w:spacing w:line="500" w:lineRule="exact"/>
        <w:ind w:firstLine="0" w:firstLineChars="0"/>
        <w:jc w:val="center"/>
        <w:rPr>
          <w:rFonts w:ascii="宋体" w:hAnsi="宋体" w:eastAsia="宋体" w:cs="宋体"/>
          <w:b/>
          <w:bCs/>
          <w:color w:val="000000"/>
          <w:sz w:val="21"/>
          <w:szCs w:val="21"/>
        </w:rPr>
      </w:pPr>
      <w:r>
        <w:rPr>
          <w:rFonts w:hint="eastAsia" w:ascii="宋体" w:hAnsi="宋体" w:eastAsia="宋体" w:cs="宋体"/>
          <w:b/>
          <w:bCs/>
          <w:color w:val="000000"/>
          <w:sz w:val="21"/>
          <w:szCs w:val="21"/>
        </w:rPr>
        <w:t>表3-1     工程组成情况表</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4"/>
        <w:gridCol w:w="2227"/>
        <w:gridCol w:w="1174"/>
        <w:gridCol w:w="626"/>
        <w:gridCol w:w="1374"/>
        <w:gridCol w:w="19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1" w:hRule="atLeast"/>
        </w:trPr>
        <w:tc>
          <w:tcPr>
            <w:tcW w:w="1194" w:type="dxa"/>
            <w:tcBorders>
              <w:top w:val="single" w:color="auto" w:sz="12" w:space="0"/>
              <w:left w:val="nil"/>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类别</w:t>
            </w:r>
          </w:p>
        </w:tc>
        <w:tc>
          <w:tcPr>
            <w:tcW w:w="2227" w:type="dxa"/>
            <w:tcBorders>
              <w:top w:val="single" w:color="auto" w:sz="12" w:space="0"/>
            </w:tcBorders>
            <w:vAlign w:val="center"/>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color w:val="000000"/>
                <w:sz w:val="21"/>
                <w:szCs w:val="21"/>
              </w:rPr>
              <w:t>建设内容</w:t>
            </w:r>
          </w:p>
        </w:tc>
        <w:tc>
          <w:tcPr>
            <w:tcW w:w="3174" w:type="dxa"/>
            <w:gridSpan w:val="3"/>
            <w:tcBorders>
              <w:top w:val="single" w:color="auto" w:sz="12" w:space="0"/>
            </w:tcBorders>
            <w:vAlign w:val="center"/>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color w:val="000000"/>
                <w:sz w:val="21"/>
                <w:szCs w:val="21"/>
              </w:rPr>
              <w:t>环评阶段工程建设内容</w:t>
            </w:r>
          </w:p>
        </w:tc>
        <w:tc>
          <w:tcPr>
            <w:tcW w:w="1927" w:type="dxa"/>
            <w:tcBorders>
              <w:top w:val="single" w:color="auto" w:sz="12" w:space="0"/>
              <w:right w:val="nil"/>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实际工程建设内容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4" w:type="dxa"/>
            <w:vMerge w:val="restart"/>
            <w:tcBorders>
              <w:left w:val="nil"/>
            </w:tcBorders>
            <w:vAlign w:val="center"/>
          </w:tcPr>
          <w:p>
            <w:pPr>
              <w:spacing w:line="360" w:lineRule="exact"/>
              <w:jc w:val="center"/>
              <w:rPr>
                <w:rFonts w:ascii="宋体" w:hAnsi="宋体" w:eastAsia="宋体" w:cs="宋体"/>
                <w:snapToGrid w:val="0"/>
                <w:color w:val="000000"/>
                <w:szCs w:val="21"/>
              </w:rPr>
            </w:pPr>
            <w:r>
              <w:rPr>
                <w:rFonts w:hint="eastAsia" w:ascii="宋体" w:hAnsi="宋体" w:eastAsia="宋体" w:cs="宋体"/>
                <w:snapToGrid w:val="0"/>
                <w:color w:val="000000"/>
                <w:szCs w:val="21"/>
              </w:rPr>
              <w:t>主体工程</w:t>
            </w:r>
          </w:p>
        </w:tc>
        <w:tc>
          <w:tcPr>
            <w:tcW w:w="2227" w:type="dxa"/>
            <w:vMerge w:val="restart"/>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产权式酒店</w:t>
            </w:r>
          </w:p>
        </w:tc>
        <w:tc>
          <w:tcPr>
            <w:tcW w:w="1800" w:type="dxa"/>
            <w:gridSpan w:val="2"/>
            <w:tcBorders>
              <w:right w:val="single" w:color="auto"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建筑面积</w:t>
            </w:r>
            <w:r>
              <w:rPr>
                <w:rFonts w:hint="eastAsia" w:ascii="宋体" w:hAnsi="宋体" w:eastAsia="宋体" w:cs="宋体"/>
                <w:color w:val="000000" w:themeColor="text1"/>
                <w:szCs w:val="21"/>
              </w:rPr>
              <w:t>m</w:t>
            </w:r>
            <w:r>
              <w:rPr>
                <w:rFonts w:hint="eastAsia" w:ascii="宋体" w:hAnsi="宋体" w:eastAsia="宋体" w:cs="宋体"/>
                <w:color w:val="000000" w:themeColor="text1"/>
                <w:szCs w:val="21"/>
                <w:vertAlign w:val="superscript"/>
              </w:rPr>
              <w:t>2</w:t>
            </w:r>
          </w:p>
        </w:tc>
        <w:tc>
          <w:tcPr>
            <w:tcW w:w="1374" w:type="dxa"/>
            <w:tcBorders>
              <w:left w:val="single" w:color="auto"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25075.29</w:t>
            </w:r>
          </w:p>
        </w:tc>
        <w:tc>
          <w:tcPr>
            <w:tcW w:w="1927" w:type="dxa"/>
            <w:tcBorders>
              <w:right w:val="nil"/>
            </w:tcBorders>
            <w:vAlign w:val="center"/>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color w:val="000000" w:themeColor="text1"/>
                <w:sz w:val="21"/>
                <w:szCs w:val="21"/>
              </w:rPr>
              <w:t>23358.79（39栋）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4" w:type="dxa"/>
            <w:vMerge w:val="continue"/>
            <w:tcBorders>
              <w:left w:val="nil"/>
            </w:tcBorders>
            <w:vAlign w:val="center"/>
          </w:tcPr>
          <w:p>
            <w:pPr>
              <w:spacing w:line="360" w:lineRule="exact"/>
              <w:jc w:val="center"/>
              <w:rPr>
                <w:rFonts w:ascii="宋体" w:hAnsi="宋体" w:eastAsia="宋体" w:cs="宋体"/>
                <w:snapToGrid w:val="0"/>
                <w:color w:val="000000"/>
                <w:szCs w:val="21"/>
              </w:rPr>
            </w:pPr>
          </w:p>
        </w:tc>
        <w:tc>
          <w:tcPr>
            <w:tcW w:w="2227" w:type="dxa"/>
            <w:vMerge w:val="continue"/>
            <w:vAlign w:val="center"/>
          </w:tcPr>
          <w:p>
            <w:pPr>
              <w:spacing w:line="360" w:lineRule="exact"/>
              <w:jc w:val="center"/>
              <w:rPr>
                <w:rFonts w:ascii="宋体" w:hAnsi="宋体" w:eastAsia="宋体" w:cs="宋体"/>
                <w:color w:val="000000"/>
                <w:szCs w:val="21"/>
              </w:rPr>
            </w:pPr>
          </w:p>
        </w:tc>
        <w:tc>
          <w:tcPr>
            <w:tcW w:w="1800" w:type="dxa"/>
            <w:gridSpan w:val="2"/>
            <w:tcBorders>
              <w:right w:val="single" w:color="auto"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占地面积</w:t>
            </w:r>
            <w:r>
              <w:rPr>
                <w:rFonts w:hint="eastAsia" w:ascii="宋体" w:hAnsi="宋体" w:eastAsia="宋体" w:cs="宋体"/>
                <w:color w:val="000000" w:themeColor="text1"/>
                <w:szCs w:val="21"/>
              </w:rPr>
              <w:t>m</w:t>
            </w:r>
            <w:r>
              <w:rPr>
                <w:rFonts w:hint="eastAsia" w:ascii="宋体" w:hAnsi="宋体" w:eastAsia="宋体" w:cs="宋体"/>
                <w:color w:val="000000" w:themeColor="text1"/>
                <w:szCs w:val="21"/>
                <w:vertAlign w:val="superscript"/>
              </w:rPr>
              <w:t>2</w:t>
            </w:r>
          </w:p>
        </w:tc>
        <w:tc>
          <w:tcPr>
            <w:tcW w:w="1374" w:type="dxa"/>
            <w:tcBorders>
              <w:left w:val="single" w:color="auto"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未给出</w:t>
            </w:r>
          </w:p>
        </w:tc>
        <w:tc>
          <w:tcPr>
            <w:tcW w:w="1927" w:type="dxa"/>
            <w:tcBorders>
              <w:right w:val="nil"/>
            </w:tcBorders>
            <w:vAlign w:val="center"/>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color w:val="000000"/>
                <w:sz w:val="21"/>
                <w:szCs w:val="21"/>
              </w:rPr>
              <w:t>57125.4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4" w:type="dxa"/>
            <w:vMerge w:val="restart"/>
            <w:tcBorders>
              <w:left w:val="nil"/>
            </w:tcBorders>
            <w:vAlign w:val="center"/>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snapToGrid w:val="0"/>
                <w:color w:val="000000"/>
                <w:sz w:val="21"/>
                <w:szCs w:val="21"/>
              </w:rPr>
              <w:t>环保工程</w:t>
            </w:r>
          </w:p>
        </w:tc>
        <w:tc>
          <w:tcPr>
            <w:tcW w:w="2227" w:type="dxa"/>
            <w:vMerge w:val="restart"/>
            <w:vAlign w:val="center"/>
          </w:tcPr>
          <w:p>
            <w:pPr>
              <w:spacing w:line="360" w:lineRule="exact"/>
              <w:jc w:val="center"/>
              <w:rPr>
                <w:rFonts w:ascii="宋体" w:hAnsi="宋体" w:eastAsia="宋体" w:cs="宋体"/>
                <w:color w:val="000000"/>
                <w:szCs w:val="21"/>
              </w:rPr>
            </w:pPr>
            <w:r>
              <w:rPr>
                <w:rFonts w:hint="eastAsia" w:ascii="宋体" w:hAnsi="宋体" w:eastAsia="宋体" w:cs="宋体"/>
                <w:snapToGrid w:val="0"/>
                <w:color w:val="000000"/>
                <w:szCs w:val="21"/>
              </w:rPr>
              <w:t>化粪池</w:t>
            </w:r>
          </w:p>
        </w:tc>
        <w:tc>
          <w:tcPr>
            <w:tcW w:w="1800" w:type="dxa"/>
            <w:gridSpan w:val="2"/>
            <w:tcBorders>
              <w:right w:val="single" w:color="000000"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数量（个）</w:t>
            </w:r>
          </w:p>
        </w:tc>
        <w:tc>
          <w:tcPr>
            <w:tcW w:w="1374" w:type="dxa"/>
            <w:tcBorders>
              <w:left w:val="single" w:color="000000"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未给出</w:t>
            </w:r>
          </w:p>
        </w:tc>
        <w:tc>
          <w:tcPr>
            <w:tcW w:w="1927" w:type="dxa"/>
            <w:tcBorders>
              <w:right w:val="nil"/>
            </w:tcBorders>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color w:val="000000"/>
                <w:sz w:val="21"/>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4" w:type="dxa"/>
            <w:vMerge w:val="continue"/>
            <w:tcBorders>
              <w:left w:val="nil"/>
            </w:tcBorders>
            <w:vAlign w:val="center"/>
          </w:tcPr>
          <w:p>
            <w:pPr>
              <w:pStyle w:val="3"/>
              <w:spacing w:line="360" w:lineRule="exact"/>
              <w:ind w:firstLine="0" w:firstLineChars="0"/>
              <w:jc w:val="center"/>
              <w:rPr>
                <w:rFonts w:ascii="宋体" w:hAnsi="宋体" w:eastAsia="宋体" w:cs="宋体"/>
                <w:color w:val="000000"/>
                <w:sz w:val="21"/>
                <w:szCs w:val="21"/>
              </w:rPr>
            </w:pPr>
          </w:p>
        </w:tc>
        <w:tc>
          <w:tcPr>
            <w:tcW w:w="2227" w:type="dxa"/>
            <w:vMerge w:val="continue"/>
            <w:vAlign w:val="center"/>
          </w:tcPr>
          <w:p>
            <w:pPr>
              <w:spacing w:line="360" w:lineRule="exact"/>
              <w:rPr>
                <w:rFonts w:ascii="宋体" w:hAnsi="宋体" w:eastAsia="宋体" w:cs="宋体"/>
                <w:color w:val="000000"/>
                <w:szCs w:val="21"/>
              </w:rPr>
            </w:pPr>
          </w:p>
        </w:tc>
        <w:tc>
          <w:tcPr>
            <w:tcW w:w="1800" w:type="dxa"/>
            <w:gridSpan w:val="2"/>
            <w:tcBorders>
              <w:right w:val="single" w:color="000000"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容积</w:t>
            </w:r>
            <w:r>
              <w:rPr>
                <w:rFonts w:hint="eastAsia" w:ascii="宋体" w:hAnsi="宋体" w:eastAsia="宋体" w:cs="宋体"/>
                <w:color w:val="000000" w:themeColor="text1"/>
                <w:szCs w:val="21"/>
              </w:rPr>
              <w:t>m</w:t>
            </w:r>
            <w:r>
              <w:rPr>
                <w:rFonts w:hint="eastAsia" w:ascii="宋体" w:hAnsi="宋体" w:eastAsia="宋体" w:cs="宋体"/>
                <w:color w:val="000000" w:themeColor="text1"/>
                <w:szCs w:val="21"/>
                <w:vertAlign w:val="superscript"/>
              </w:rPr>
              <w:t>3</w:t>
            </w:r>
          </w:p>
        </w:tc>
        <w:tc>
          <w:tcPr>
            <w:tcW w:w="1374" w:type="dxa"/>
            <w:tcBorders>
              <w:left w:val="single" w:color="000000"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未给出</w:t>
            </w:r>
          </w:p>
        </w:tc>
        <w:tc>
          <w:tcPr>
            <w:tcW w:w="1927" w:type="dxa"/>
            <w:tcBorders>
              <w:right w:val="nil"/>
            </w:tcBorders>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color w:val="000000"/>
                <w:sz w:val="21"/>
                <w:szCs w:val="21"/>
              </w:rPr>
              <w:t>20</w:t>
            </w:r>
            <w:r>
              <w:rPr>
                <w:rFonts w:hint="eastAsia" w:ascii="宋体" w:hAnsi="宋体" w:eastAsia="宋体" w:cs="宋体"/>
                <w:color w:val="000000" w:themeColor="text1"/>
                <w:sz w:val="21"/>
                <w:szCs w:val="21"/>
              </w:rPr>
              <w:t>m</w:t>
            </w:r>
            <w:r>
              <w:rPr>
                <w:rFonts w:hint="eastAsia" w:ascii="宋体" w:hAnsi="宋体" w:eastAsia="宋体" w:cs="宋体"/>
                <w:color w:val="000000" w:themeColor="text1"/>
                <w:sz w:val="21"/>
                <w:szCs w:val="21"/>
                <w:vertAlign w:val="superscript"/>
              </w:rPr>
              <w:t>3</w:t>
            </w:r>
            <w:r>
              <w:rPr>
                <w:rFonts w:hint="eastAsia" w:ascii="宋体" w:hAnsi="宋体" w:eastAsia="宋体" w:cs="宋体"/>
                <w:color w:val="000000"/>
                <w:sz w:val="21"/>
                <w:szCs w:val="21"/>
              </w:rPr>
              <w:t>/个（共120</w:t>
            </w:r>
            <w:r>
              <w:rPr>
                <w:rFonts w:hint="eastAsia" w:ascii="宋体" w:hAnsi="宋体" w:eastAsia="宋体" w:cs="宋体"/>
                <w:color w:val="000000" w:themeColor="text1"/>
                <w:sz w:val="21"/>
                <w:szCs w:val="21"/>
              </w:rPr>
              <w:t xml:space="preserve"> m</w:t>
            </w:r>
            <w:r>
              <w:rPr>
                <w:rFonts w:hint="eastAsia" w:ascii="宋体" w:hAnsi="宋体" w:eastAsia="宋体" w:cs="宋体"/>
                <w:color w:val="000000" w:themeColor="text1"/>
                <w:sz w:val="21"/>
                <w:szCs w:val="21"/>
                <w:vertAlign w:val="superscript"/>
              </w:rPr>
              <w:t>3</w:t>
            </w:r>
            <w:r>
              <w:rPr>
                <w:rFonts w:hint="eastAsia" w:ascii="宋体" w:hAnsi="宋体" w:eastAsia="宋体" w:cs="宋体"/>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4" w:type="dxa"/>
            <w:vMerge w:val="continue"/>
            <w:tcBorders>
              <w:left w:val="nil"/>
            </w:tcBorders>
            <w:vAlign w:val="center"/>
          </w:tcPr>
          <w:p>
            <w:pPr>
              <w:pStyle w:val="3"/>
              <w:spacing w:line="360" w:lineRule="exact"/>
              <w:ind w:firstLine="0" w:firstLineChars="0"/>
              <w:jc w:val="center"/>
              <w:rPr>
                <w:rFonts w:ascii="宋体" w:hAnsi="宋体" w:eastAsia="宋体" w:cs="宋体"/>
                <w:snapToGrid w:val="0"/>
                <w:color w:val="000000"/>
                <w:sz w:val="21"/>
                <w:szCs w:val="21"/>
              </w:rPr>
            </w:pPr>
          </w:p>
        </w:tc>
        <w:tc>
          <w:tcPr>
            <w:tcW w:w="2227" w:type="dxa"/>
            <w:vMerge w:val="continue"/>
            <w:vAlign w:val="center"/>
          </w:tcPr>
          <w:p>
            <w:pPr>
              <w:spacing w:line="360" w:lineRule="exact"/>
              <w:rPr>
                <w:rFonts w:ascii="宋体" w:hAnsi="宋体" w:eastAsia="宋体" w:cs="宋体"/>
                <w:snapToGrid w:val="0"/>
                <w:color w:val="000000"/>
                <w:szCs w:val="21"/>
              </w:rPr>
            </w:pPr>
          </w:p>
        </w:tc>
        <w:tc>
          <w:tcPr>
            <w:tcW w:w="1800" w:type="dxa"/>
            <w:gridSpan w:val="2"/>
            <w:tcBorders>
              <w:right w:val="single" w:color="000000"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防渗系数</w:t>
            </w:r>
          </w:p>
        </w:tc>
        <w:tc>
          <w:tcPr>
            <w:tcW w:w="1374" w:type="dxa"/>
            <w:tcBorders>
              <w:left w:val="single" w:color="000000"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未给出</w:t>
            </w:r>
          </w:p>
        </w:tc>
        <w:tc>
          <w:tcPr>
            <w:tcW w:w="1927" w:type="dxa"/>
            <w:tcBorders>
              <w:right w:val="nil"/>
            </w:tcBorders>
          </w:tcPr>
          <w:p>
            <w:pPr>
              <w:pStyle w:val="3"/>
              <w:spacing w:line="360" w:lineRule="exact"/>
              <w:ind w:firstLine="0" w:firstLineChars="0"/>
              <w:jc w:val="center"/>
              <w:rPr>
                <w:rFonts w:ascii="宋体" w:hAnsi="宋体" w:eastAsia="宋体" w:cs="宋体"/>
                <w:color w:val="000000"/>
                <w:sz w:val="21"/>
                <w:szCs w:val="21"/>
              </w:rPr>
            </w:pPr>
            <w:r>
              <w:rPr>
                <w:rFonts w:ascii="Arial" w:hAnsi="Arial" w:eastAsia="宋体" w:cs="Arial"/>
                <w:color w:val="000000"/>
                <w:sz w:val="21"/>
                <w:szCs w:val="21"/>
              </w:rPr>
              <w:t>≤</w:t>
            </w:r>
            <w:r>
              <w:rPr>
                <w:rFonts w:hint="eastAsia" w:ascii="宋体" w:hAnsi="宋体" w:eastAsia="宋体" w:cs="宋体"/>
                <w:color w:val="000000"/>
                <w:sz w:val="21"/>
                <w:szCs w:val="21"/>
              </w:rPr>
              <w:t>10</w:t>
            </w:r>
            <w:r>
              <w:rPr>
                <w:rFonts w:hint="eastAsia" w:ascii="宋体" w:hAnsi="宋体" w:eastAsia="宋体" w:cs="宋体"/>
                <w:color w:val="000000"/>
                <w:sz w:val="21"/>
                <w:szCs w:val="21"/>
                <w:vertAlign w:val="superscript"/>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4" w:type="dxa"/>
            <w:vMerge w:val="continue"/>
            <w:tcBorders>
              <w:left w:val="nil"/>
            </w:tcBorders>
            <w:vAlign w:val="center"/>
          </w:tcPr>
          <w:p>
            <w:pPr>
              <w:pStyle w:val="3"/>
              <w:spacing w:line="360" w:lineRule="exact"/>
              <w:ind w:firstLine="0" w:firstLineChars="0"/>
              <w:jc w:val="center"/>
              <w:rPr>
                <w:rFonts w:ascii="宋体" w:hAnsi="宋体" w:eastAsia="宋体" w:cs="宋体"/>
                <w:snapToGrid w:val="0"/>
                <w:color w:val="000000"/>
                <w:sz w:val="21"/>
                <w:szCs w:val="21"/>
              </w:rPr>
            </w:pPr>
          </w:p>
        </w:tc>
        <w:tc>
          <w:tcPr>
            <w:tcW w:w="2227" w:type="dxa"/>
            <w:vAlign w:val="center"/>
          </w:tcPr>
          <w:p>
            <w:pPr>
              <w:spacing w:line="360" w:lineRule="exact"/>
              <w:rPr>
                <w:rFonts w:ascii="宋体" w:hAnsi="宋体" w:eastAsia="宋体" w:cs="宋体"/>
                <w:snapToGrid w:val="0"/>
                <w:color w:val="000000"/>
                <w:szCs w:val="21"/>
              </w:rPr>
            </w:pPr>
            <w:r>
              <w:rPr>
                <w:rFonts w:hint="eastAsia" w:ascii="宋体" w:hAnsi="宋体" w:eastAsia="宋体" w:cs="宋体"/>
                <w:snapToGrid w:val="0"/>
                <w:color w:val="000000"/>
                <w:szCs w:val="21"/>
              </w:rPr>
              <w:t>地埋式污水处理装置</w:t>
            </w:r>
          </w:p>
        </w:tc>
        <w:tc>
          <w:tcPr>
            <w:tcW w:w="3174" w:type="dxa"/>
            <w:gridSpan w:val="3"/>
            <w:tcBorders>
              <w:bottom w:val="single" w:color="000000" w:sz="4"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未给出处理工艺、处理能力</w:t>
            </w:r>
          </w:p>
        </w:tc>
        <w:tc>
          <w:tcPr>
            <w:tcW w:w="1927" w:type="dxa"/>
            <w:tcBorders>
              <w:right w:val="nil"/>
            </w:tcBorders>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color w:val="000000"/>
                <w:sz w:val="21"/>
                <w:szCs w:val="21"/>
              </w:rPr>
              <w:t>未建设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4" w:type="dxa"/>
            <w:vMerge w:val="continue"/>
            <w:tcBorders>
              <w:left w:val="nil"/>
            </w:tcBorders>
            <w:vAlign w:val="center"/>
          </w:tcPr>
          <w:p>
            <w:pPr>
              <w:pStyle w:val="3"/>
              <w:spacing w:line="360" w:lineRule="exact"/>
              <w:ind w:firstLine="0" w:firstLineChars="0"/>
              <w:jc w:val="center"/>
              <w:rPr>
                <w:rFonts w:ascii="宋体" w:hAnsi="宋体" w:eastAsia="宋体" w:cs="宋体"/>
                <w:color w:val="000000"/>
                <w:sz w:val="21"/>
                <w:szCs w:val="21"/>
              </w:rPr>
            </w:pPr>
          </w:p>
        </w:tc>
        <w:tc>
          <w:tcPr>
            <w:tcW w:w="2227" w:type="dxa"/>
            <w:vMerge w:val="restart"/>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锅炉</w:t>
            </w:r>
          </w:p>
        </w:tc>
        <w:tc>
          <w:tcPr>
            <w:tcW w:w="1174" w:type="dxa"/>
            <w:tcBorders>
              <w:top w:val="single" w:color="000000" w:sz="4" w:space="0"/>
              <w:right w:val="single" w:color="000000" w:sz="4" w:space="0"/>
            </w:tcBorders>
            <w:vAlign w:val="center"/>
          </w:tcPr>
          <w:p>
            <w:pPr>
              <w:spacing w:line="360" w:lineRule="exact"/>
              <w:jc w:val="center"/>
              <w:rPr>
                <w:rFonts w:ascii="宋体" w:hAnsi="宋体" w:eastAsia="宋体" w:cs="宋体"/>
                <w:snapToGrid w:val="0"/>
                <w:color w:val="000000"/>
                <w:szCs w:val="21"/>
              </w:rPr>
            </w:pPr>
            <w:r>
              <w:rPr>
                <w:rFonts w:hint="eastAsia" w:ascii="宋体" w:hAnsi="宋体" w:eastAsia="宋体" w:cs="宋体"/>
                <w:snapToGrid w:val="0"/>
                <w:color w:val="000000"/>
                <w:szCs w:val="21"/>
              </w:rPr>
              <w:t>类型</w:t>
            </w:r>
          </w:p>
        </w:tc>
        <w:tc>
          <w:tcPr>
            <w:tcW w:w="2000" w:type="dxa"/>
            <w:gridSpan w:val="2"/>
            <w:tcBorders>
              <w:top w:val="single" w:color="000000" w:sz="4" w:space="0"/>
              <w:left w:val="single" w:color="000000" w:sz="4" w:space="0"/>
            </w:tcBorders>
            <w:vAlign w:val="center"/>
          </w:tcPr>
          <w:p>
            <w:pPr>
              <w:spacing w:line="360" w:lineRule="exact"/>
              <w:rPr>
                <w:rFonts w:ascii="宋体" w:hAnsi="宋体" w:eastAsia="宋体" w:cs="宋体"/>
                <w:snapToGrid w:val="0"/>
                <w:color w:val="000000"/>
                <w:szCs w:val="21"/>
              </w:rPr>
            </w:pPr>
            <w:r>
              <w:rPr>
                <w:rFonts w:hint="eastAsia" w:ascii="宋体" w:hAnsi="宋体" w:eastAsia="宋体" w:cs="宋体"/>
                <w:snapToGrid w:val="0"/>
                <w:color w:val="000000"/>
                <w:szCs w:val="21"/>
              </w:rPr>
              <w:t>燃煤，远期采用燃气锅炉</w:t>
            </w:r>
          </w:p>
        </w:tc>
        <w:tc>
          <w:tcPr>
            <w:tcW w:w="1927" w:type="dxa"/>
            <w:tcBorders>
              <w:right w:val="nil"/>
            </w:tcBorders>
            <w:vAlign w:val="center"/>
          </w:tcPr>
          <w:p>
            <w:pPr>
              <w:pStyle w:val="3"/>
              <w:spacing w:line="360" w:lineRule="exact"/>
              <w:ind w:firstLine="0" w:firstLineChars="0"/>
              <w:jc w:val="center"/>
              <w:rPr>
                <w:rFonts w:ascii="宋体" w:hAnsi="宋体" w:eastAsia="宋体" w:cs="宋体"/>
                <w:b/>
                <w:bCs/>
                <w:color w:val="000000"/>
                <w:sz w:val="21"/>
                <w:szCs w:val="21"/>
              </w:rPr>
            </w:pPr>
            <w:r>
              <w:rPr>
                <w:rFonts w:hint="eastAsia" w:ascii="宋体" w:hAnsi="宋体" w:eastAsia="宋体" w:cs="宋体"/>
                <w:color w:val="000000" w:themeColor="text1"/>
                <w:sz w:val="21"/>
                <w:szCs w:val="21"/>
              </w:rPr>
              <w:t>已更换为燃气锅炉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94" w:type="dxa"/>
            <w:vMerge w:val="continue"/>
            <w:tcBorders>
              <w:left w:val="nil"/>
            </w:tcBorders>
            <w:vAlign w:val="center"/>
          </w:tcPr>
          <w:p>
            <w:pPr>
              <w:pStyle w:val="3"/>
              <w:spacing w:line="360" w:lineRule="exact"/>
              <w:ind w:firstLine="0" w:firstLineChars="0"/>
              <w:jc w:val="center"/>
              <w:rPr>
                <w:rFonts w:ascii="宋体" w:hAnsi="宋体" w:eastAsia="宋体" w:cs="宋体"/>
                <w:color w:val="000000"/>
                <w:sz w:val="21"/>
                <w:szCs w:val="21"/>
              </w:rPr>
            </w:pPr>
          </w:p>
        </w:tc>
        <w:tc>
          <w:tcPr>
            <w:tcW w:w="2227" w:type="dxa"/>
            <w:vMerge w:val="continue"/>
            <w:vAlign w:val="center"/>
          </w:tcPr>
          <w:p>
            <w:pPr>
              <w:spacing w:line="360" w:lineRule="exact"/>
              <w:jc w:val="center"/>
              <w:rPr>
                <w:rFonts w:ascii="宋体" w:hAnsi="宋体" w:eastAsia="宋体" w:cs="宋体"/>
                <w:color w:val="000000"/>
                <w:szCs w:val="21"/>
              </w:rPr>
            </w:pPr>
          </w:p>
        </w:tc>
        <w:tc>
          <w:tcPr>
            <w:tcW w:w="1174" w:type="dxa"/>
            <w:tcBorders>
              <w:right w:val="single" w:color="000000" w:sz="4" w:space="0"/>
            </w:tcBorders>
            <w:vAlign w:val="center"/>
          </w:tcPr>
          <w:p>
            <w:pPr>
              <w:spacing w:line="360" w:lineRule="exact"/>
              <w:jc w:val="center"/>
              <w:rPr>
                <w:rFonts w:ascii="宋体" w:hAnsi="宋体" w:eastAsia="宋体" w:cs="宋体"/>
                <w:snapToGrid w:val="0"/>
                <w:color w:val="000000"/>
                <w:szCs w:val="21"/>
              </w:rPr>
            </w:pPr>
            <w:r>
              <w:rPr>
                <w:rFonts w:hint="eastAsia" w:ascii="宋体" w:hAnsi="宋体" w:eastAsia="宋体" w:cs="宋体"/>
                <w:snapToGrid w:val="0"/>
                <w:color w:val="000000"/>
                <w:szCs w:val="21"/>
              </w:rPr>
              <w:t>数量（台）</w:t>
            </w:r>
          </w:p>
        </w:tc>
        <w:tc>
          <w:tcPr>
            <w:tcW w:w="2000" w:type="dxa"/>
            <w:gridSpan w:val="2"/>
            <w:vMerge w:val="restart"/>
            <w:tcBorders>
              <w:left w:val="single" w:color="000000" w:sz="4" w:space="0"/>
            </w:tcBorders>
            <w:vAlign w:val="center"/>
          </w:tcPr>
          <w:p>
            <w:pPr>
              <w:spacing w:line="360" w:lineRule="exact"/>
              <w:jc w:val="center"/>
              <w:rPr>
                <w:rFonts w:ascii="宋体" w:hAnsi="宋体" w:eastAsia="宋体" w:cs="宋体"/>
                <w:snapToGrid w:val="0"/>
                <w:color w:val="000000"/>
                <w:szCs w:val="21"/>
              </w:rPr>
            </w:pPr>
            <w:r>
              <w:rPr>
                <w:rFonts w:hint="eastAsia" w:ascii="宋体" w:hAnsi="宋体" w:eastAsia="宋体" w:cs="宋体"/>
                <w:color w:val="000000"/>
                <w:szCs w:val="21"/>
              </w:rPr>
              <w:t>未给出</w:t>
            </w:r>
          </w:p>
        </w:tc>
        <w:tc>
          <w:tcPr>
            <w:tcW w:w="1927" w:type="dxa"/>
            <w:tcBorders>
              <w:right w:val="nil"/>
            </w:tcBorders>
          </w:tcPr>
          <w:p>
            <w:pPr>
              <w:pStyle w:val="3"/>
              <w:spacing w:line="360" w:lineRule="exact"/>
              <w:ind w:firstLine="0" w:firstLineChars="0"/>
              <w:rPr>
                <w:rFonts w:ascii="宋体" w:hAnsi="宋体" w:eastAsia="宋体" w:cs="宋体"/>
                <w:b/>
                <w:bCs/>
                <w:color w:val="000000"/>
                <w:sz w:val="21"/>
                <w:szCs w:val="21"/>
              </w:rPr>
            </w:pPr>
            <w:r>
              <w:rPr>
                <w:rFonts w:hint="eastAsia" w:ascii="宋体" w:hAnsi="宋体" w:eastAsia="宋体" w:cs="宋体"/>
                <w:color w:val="000000"/>
                <w:sz w:val="21"/>
                <w:szCs w:val="21"/>
              </w:rPr>
              <w:t xml:space="preserv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3" w:hRule="atLeast"/>
        </w:trPr>
        <w:tc>
          <w:tcPr>
            <w:tcW w:w="1194" w:type="dxa"/>
            <w:vMerge w:val="continue"/>
            <w:tcBorders>
              <w:left w:val="nil"/>
            </w:tcBorders>
            <w:vAlign w:val="center"/>
          </w:tcPr>
          <w:p>
            <w:pPr>
              <w:pStyle w:val="3"/>
              <w:spacing w:line="360" w:lineRule="exact"/>
              <w:ind w:firstLine="0" w:firstLineChars="0"/>
              <w:jc w:val="center"/>
              <w:rPr>
                <w:rFonts w:ascii="宋体" w:hAnsi="宋体" w:eastAsia="宋体" w:cs="宋体"/>
                <w:color w:val="000000"/>
                <w:sz w:val="21"/>
                <w:szCs w:val="21"/>
              </w:rPr>
            </w:pPr>
          </w:p>
        </w:tc>
        <w:tc>
          <w:tcPr>
            <w:tcW w:w="2227" w:type="dxa"/>
            <w:vMerge w:val="continue"/>
            <w:vAlign w:val="center"/>
          </w:tcPr>
          <w:p>
            <w:pPr>
              <w:spacing w:line="360" w:lineRule="exact"/>
              <w:jc w:val="center"/>
              <w:rPr>
                <w:rFonts w:ascii="宋体" w:hAnsi="宋体" w:eastAsia="宋体" w:cs="宋体"/>
                <w:color w:val="000000"/>
                <w:szCs w:val="21"/>
              </w:rPr>
            </w:pPr>
          </w:p>
        </w:tc>
        <w:tc>
          <w:tcPr>
            <w:tcW w:w="1174" w:type="dxa"/>
            <w:tcBorders>
              <w:right w:val="single" w:color="000000" w:sz="4" w:space="0"/>
            </w:tcBorders>
            <w:vAlign w:val="center"/>
          </w:tcPr>
          <w:p>
            <w:pPr>
              <w:spacing w:line="360" w:lineRule="exact"/>
              <w:jc w:val="center"/>
              <w:rPr>
                <w:rFonts w:ascii="宋体" w:hAnsi="宋体" w:eastAsia="宋体" w:cs="宋体"/>
                <w:snapToGrid w:val="0"/>
                <w:color w:val="000000"/>
                <w:szCs w:val="21"/>
              </w:rPr>
            </w:pPr>
            <w:r>
              <w:rPr>
                <w:rFonts w:hint="eastAsia" w:ascii="宋体" w:hAnsi="宋体" w:eastAsia="宋体" w:cs="宋体"/>
                <w:snapToGrid w:val="0"/>
                <w:color w:val="000000"/>
                <w:szCs w:val="21"/>
              </w:rPr>
              <w:t>装机容量</w:t>
            </w:r>
          </w:p>
        </w:tc>
        <w:tc>
          <w:tcPr>
            <w:tcW w:w="2000" w:type="dxa"/>
            <w:gridSpan w:val="2"/>
            <w:vMerge w:val="continue"/>
            <w:tcBorders>
              <w:left w:val="single" w:color="000000" w:sz="4" w:space="0"/>
            </w:tcBorders>
            <w:vAlign w:val="center"/>
          </w:tcPr>
          <w:p>
            <w:pPr>
              <w:spacing w:line="360" w:lineRule="exact"/>
              <w:jc w:val="center"/>
              <w:rPr>
                <w:rFonts w:ascii="宋体" w:hAnsi="宋体" w:eastAsia="宋体" w:cs="宋体"/>
                <w:color w:val="000000"/>
                <w:szCs w:val="21"/>
              </w:rPr>
            </w:pPr>
          </w:p>
        </w:tc>
        <w:tc>
          <w:tcPr>
            <w:tcW w:w="1927" w:type="dxa"/>
            <w:tcBorders>
              <w:right w:val="nil"/>
            </w:tcBorders>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color w:val="000000"/>
                <w:sz w:val="21"/>
                <w:szCs w:val="21"/>
              </w:rPr>
              <w:t>0.697MW  2台</w:t>
            </w:r>
          </w:p>
          <w:p>
            <w:pPr>
              <w:pStyle w:val="3"/>
              <w:spacing w:line="360" w:lineRule="exact"/>
              <w:ind w:firstLine="0" w:firstLineChars="0"/>
              <w:jc w:val="center"/>
              <w:rPr>
                <w:rFonts w:ascii="宋体" w:hAnsi="宋体" w:eastAsia="宋体" w:cs="宋体"/>
                <w:b/>
                <w:bCs/>
                <w:color w:val="000000"/>
                <w:sz w:val="21"/>
                <w:szCs w:val="21"/>
              </w:rPr>
            </w:pPr>
            <w:r>
              <w:rPr>
                <w:rFonts w:hint="eastAsia" w:ascii="宋体" w:hAnsi="宋体" w:eastAsia="宋体" w:cs="宋体"/>
                <w:color w:val="000000"/>
                <w:sz w:val="21"/>
                <w:szCs w:val="21"/>
              </w:rPr>
              <w:t>0.348MW  1台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7" w:hRule="atLeast"/>
        </w:trPr>
        <w:tc>
          <w:tcPr>
            <w:tcW w:w="1194" w:type="dxa"/>
            <w:vMerge w:val="continue"/>
            <w:tcBorders>
              <w:left w:val="nil"/>
            </w:tcBorders>
            <w:vAlign w:val="center"/>
          </w:tcPr>
          <w:p>
            <w:pPr>
              <w:pStyle w:val="3"/>
              <w:spacing w:line="360" w:lineRule="exact"/>
              <w:ind w:firstLine="0" w:firstLineChars="0"/>
              <w:jc w:val="center"/>
              <w:rPr>
                <w:rFonts w:ascii="宋体" w:hAnsi="宋体" w:eastAsia="宋体" w:cs="宋体"/>
                <w:color w:val="000000"/>
                <w:sz w:val="21"/>
                <w:szCs w:val="21"/>
              </w:rPr>
            </w:pPr>
          </w:p>
        </w:tc>
        <w:tc>
          <w:tcPr>
            <w:tcW w:w="2227" w:type="dxa"/>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烟囱高度</w:t>
            </w:r>
          </w:p>
        </w:tc>
        <w:tc>
          <w:tcPr>
            <w:tcW w:w="3174" w:type="dxa"/>
            <w:gridSpan w:val="3"/>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未给出</w:t>
            </w:r>
          </w:p>
        </w:tc>
        <w:tc>
          <w:tcPr>
            <w:tcW w:w="1927" w:type="dxa"/>
            <w:tcBorders>
              <w:right w:val="nil"/>
            </w:tcBorders>
            <w:vAlign w:val="center"/>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color w:val="000000"/>
                <w:sz w:val="21"/>
                <w:szCs w:val="21"/>
              </w:rPr>
              <w:t>8m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4" w:hRule="atLeast"/>
        </w:trPr>
        <w:tc>
          <w:tcPr>
            <w:tcW w:w="1194" w:type="dxa"/>
            <w:vMerge w:val="continue"/>
            <w:tcBorders>
              <w:left w:val="nil"/>
              <w:bottom w:val="single" w:color="auto" w:sz="12" w:space="0"/>
            </w:tcBorders>
            <w:vAlign w:val="center"/>
          </w:tcPr>
          <w:p>
            <w:pPr>
              <w:pStyle w:val="3"/>
              <w:spacing w:line="360" w:lineRule="exact"/>
              <w:ind w:firstLine="0" w:firstLineChars="0"/>
              <w:jc w:val="center"/>
              <w:rPr>
                <w:rFonts w:ascii="宋体" w:hAnsi="宋体" w:eastAsia="宋体" w:cs="宋体"/>
                <w:color w:val="000000"/>
                <w:sz w:val="21"/>
                <w:szCs w:val="21"/>
              </w:rPr>
            </w:pPr>
          </w:p>
        </w:tc>
        <w:tc>
          <w:tcPr>
            <w:tcW w:w="2227" w:type="dxa"/>
            <w:tcBorders>
              <w:bottom w:val="single" w:color="auto" w:sz="12"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绿化</w:t>
            </w:r>
          </w:p>
        </w:tc>
        <w:tc>
          <w:tcPr>
            <w:tcW w:w="3174" w:type="dxa"/>
            <w:gridSpan w:val="3"/>
            <w:tcBorders>
              <w:bottom w:val="single" w:color="auto" w:sz="12"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绿化不低于10%</w:t>
            </w:r>
          </w:p>
        </w:tc>
        <w:tc>
          <w:tcPr>
            <w:tcW w:w="1927" w:type="dxa"/>
            <w:tcBorders>
              <w:bottom w:val="single" w:color="auto" w:sz="12" w:space="0"/>
              <w:right w:val="nil"/>
            </w:tcBorders>
            <w:vAlign w:val="center"/>
          </w:tcPr>
          <w:p>
            <w:pPr>
              <w:pStyle w:val="3"/>
              <w:spacing w:line="360" w:lineRule="exact"/>
              <w:ind w:firstLine="0" w:firstLineChars="0"/>
              <w:jc w:val="center"/>
              <w:rPr>
                <w:rFonts w:ascii="宋体" w:hAnsi="宋体" w:eastAsia="宋体" w:cs="宋体"/>
                <w:color w:val="000000"/>
                <w:sz w:val="21"/>
                <w:szCs w:val="21"/>
              </w:rPr>
            </w:pPr>
            <w:r>
              <w:rPr>
                <w:rFonts w:hint="eastAsia" w:ascii="宋体" w:hAnsi="宋体" w:eastAsia="宋体" w:cs="宋体"/>
                <w:color w:val="000000"/>
                <w:sz w:val="21"/>
                <w:szCs w:val="21"/>
              </w:rPr>
              <w:t>33140</w:t>
            </w:r>
            <w:r>
              <w:rPr>
                <w:rFonts w:hint="eastAsia" w:ascii="宋体" w:hAnsi="宋体" w:eastAsia="宋体" w:cs="宋体"/>
                <w:color w:val="000000" w:themeColor="text1"/>
                <w:sz w:val="21"/>
                <w:szCs w:val="21"/>
              </w:rPr>
              <w:t>m</w:t>
            </w:r>
            <w:r>
              <w:rPr>
                <w:rFonts w:hint="eastAsia" w:ascii="宋体" w:hAnsi="宋体" w:eastAsia="宋体" w:cs="宋体"/>
                <w:color w:val="000000" w:themeColor="text1"/>
                <w:sz w:val="21"/>
                <w:szCs w:val="21"/>
                <w:vertAlign w:val="superscript"/>
              </w:rPr>
              <w:t>2</w:t>
            </w:r>
          </w:p>
        </w:tc>
      </w:tr>
    </w:tbl>
    <w:p>
      <w:pPr>
        <w:spacing w:line="360" w:lineRule="auto"/>
        <w:outlineLvl w:val="1"/>
        <w:rPr>
          <w:rFonts w:ascii="宋体" w:hAnsi="宋体" w:eastAsia="宋体" w:cs="宋体"/>
          <w:color w:val="000000" w:themeColor="text1"/>
          <w:szCs w:val="21"/>
        </w:rPr>
      </w:pPr>
      <w:bookmarkStart w:id="10" w:name="_Toc30722"/>
      <w:r>
        <w:rPr>
          <w:rFonts w:hint="eastAsia" w:ascii="宋体" w:hAnsi="宋体" w:eastAsia="宋体" w:cs="宋体"/>
          <w:b/>
          <w:bCs/>
          <w:sz w:val="28"/>
          <w:szCs w:val="28"/>
        </w:rPr>
        <w:t>3.3环保投资落实情况</w:t>
      </w:r>
      <w:bookmarkEnd w:id="10"/>
    </w:p>
    <w:p>
      <w:pPr>
        <w:spacing w:line="360" w:lineRule="auto"/>
        <w:ind w:firstLine="561"/>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本项目实际总投资21886.87万元，其中环保投资5104.54万元，占总投资的23.32%，环保投资明细见表3-2。</w:t>
      </w:r>
    </w:p>
    <w:p>
      <w:pPr>
        <w:spacing w:line="360" w:lineRule="auto"/>
        <w:ind w:firstLine="561"/>
        <w:jc w:val="center"/>
        <w:rPr>
          <w:rFonts w:ascii="宋体" w:hAnsi="宋体" w:eastAsia="宋体" w:cs="宋体"/>
          <w:b/>
          <w:bCs/>
          <w:color w:val="000000"/>
          <w:szCs w:val="21"/>
        </w:rPr>
      </w:pPr>
      <w:r>
        <w:rPr>
          <w:rFonts w:hint="eastAsia" w:ascii="宋体" w:hAnsi="宋体" w:eastAsia="宋体" w:cs="宋体"/>
          <w:b/>
          <w:bCs/>
          <w:color w:val="000000"/>
          <w:szCs w:val="21"/>
        </w:rPr>
        <w:t>表3-2     本项目环保投资明细表</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4"/>
        <w:gridCol w:w="3221"/>
        <w:gridCol w:w="33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74" w:type="dxa"/>
            <w:tcBorders>
              <w:top w:val="single" w:color="auto" w:sz="12" w:space="0"/>
              <w:left w:val="nil"/>
              <w:bottom w:val="single" w:color="auto" w:sz="12" w:space="0"/>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类别</w:t>
            </w:r>
          </w:p>
        </w:tc>
        <w:tc>
          <w:tcPr>
            <w:tcW w:w="3221" w:type="dxa"/>
            <w:tcBorders>
              <w:top w:val="single" w:color="auto" w:sz="12" w:space="0"/>
              <w:bottom w:val="single" w:color="auto" w:sz="12" w:space="0"/>
              <w:right w:val="single" w:color="auto" w:sz="4" w:space="0"/>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内容</w:t>
            </w:r>
          </w:p>
        </w:tc>
        <w:tc>
          <w:tcPr>
            <w:tcW w:w="3327" w:type="dxa"/>
            <w:tcBorders>
              <w:top w:val="single" w:color="auto" w:sz="12" w:space="0"/>
              <w:left w:val="single" w:color="auto" w:sz="4" w:space="0"/>
              <w:bottom w:val="single" w:color="auto" w:sz="12" w:space="0"/>
              <w:right w:val="nil"/>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投资（万元）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74" w:type="dxa"/>
            <w:tcBorders>
              <w:top w:val="single" w:color="auto" w:sz="12" w:space="0"/>
              <w:left w:val="nil"/>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废气防护措施</w:t>
            </w:r>
          </w:p>
        </w:tc>
        <w:tc>
          <w:tcPr>
            <w:tcW w:w="3221" w:type="dxa"/>
            <w:tcBorders>
              <w:top w:val="single" w:color="auto" w:sz="12" w:space="0"/>
              <w:right w:val="single" w:color="auto" w:sz="4" w:space="0"/>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撒水抑尘</w:t>
            </w:r>
          </w:p>
        </w:tc>
        <w:tc>
          <w:tcPr>
            <w:tcW w:w="3327" w:type="dxa"/>
            <w:tcBorders>
              <w:top w:val="single" w:color="auto" w:sz="12" w:space="0"/>
              <w:left w:val="single" w:color="auto" w:sz="4" w:space="0"/>
              <w:right w:val="nil"/>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74" w:type="dxa"/>
            <w:vMerge w:val="restart"/>
            <w:tcBorders>
              <w:left w:val="nil"/>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废水防治措施</w:t>
            </w:r>
          </w:p>
        </w:tc>
        <w:tc>
          <w:tcPr>
            <w:tcW w:w="3221" w:type="dxa"/>
            <w:tcBorders>
              <w:right w:val="single" w:color="auto" w:sz="4" w:space="0"/>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化粪池</w:t>
            </w:r>
          </w:p>
        </w:tc>
        <w:tc>
          <w:tcPr>
            <w:tcW w:w="3327" w:type="dxa"/>
            <w:tcBorders>
              <w:left w:val="single" w:color="auto" w:sz="4" w:space="0"/>
              <w:right w:val="nil"/>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74" w:type="dxa"/>
            <w:vMerge w:val="continue"/>
            <w:tcBorders>
              <w:left w:val="nil"/>
            </w:tcBorders>
            <w:vAlign w:val="center"/>
          </w:tcPr>
          <w:p>
            <w:pPr>
              <w:spacing w:line="400" w:lineRule="exact"/>
              <w:jc w:val="center"/>
              <w:rPr>
                <w:rFonts w:ascii="宋体" w:hAnsi="宋体" w:eastAsia="宋体" w:cs="宋体"/>
                <w:color w:val="000000"/>
                <w:szCs w:val="21"/>
              </w:rPr>
            </w:pPr>
          </w:p>
        </w:tc>
        <w:tc>
          <w:tcPr>
            <w:tcW w:w="3221" w:type="dxa"/>
            <w:tcBorders>
              <w:right w:val="single" w:color="auto" w:sz="4" w:space="0"/>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防渗工程</w:t>
            </w:r>
          </w:p>
        </w:tc>
        <w:tc>
          <w:tcPr>
            <w:tcW w:w="3327" w:type="dxa"/>
            <w:tcBorders>
              <w:left w:val="single" w:color="auto" w:sz="4" w:space="0"/>
              <w:right w:val="nil"/>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74" w:type="dxa"/>
            <w:vMerge w:val="continue"/>
            <w:tcBorders>
              <w:left w:val="nil"/>
            </w:tcBorders>
            <w:vAlign w:val="center"/>
          </w:tcPr>
          <w:p>
            <w:pPr>
              <w:spacing w:line="400" w:lineRule="exact"/>
              <w:jc w:val="center"/>
              <w:rPr>
                <w:rFonts w:ascii="宋体" w:hAnsi="宋体" w:eastAsia="宋体" w:cs="宋体"/>
                <w:color w:val="000000"/>
                <w:szCs w:val="21"/>
              </w:rPr>
            </w:pPr>
          </w:p>
        </w:tc>
        <w:tc>
          <w:tcPr>
            <w:tcW w:w="3221" w:type="dxa"/>
            <w:tcBorders>
              <w:bottom w:val="single" w:color="000000" w:sz="4" w:space="0"/>
              <w:right w:val="single" w:color="auto" w:sz="4" w:space="0"/>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垃圾桶</w:t>
            </w:r>
          </w:p>
        </w:tc>
        <w:tc>
          <w:tcPr>
            <w:tcW w:w="3327" w:type="dxa"/>
            <w:tcBorders>
              <w:left w:val="single" w:color="auto" w:sz="4" w:space="0"/>
              <w:bottom w:val="single" w:color="000000" w:sz="4" w:space="0"/>
              <w:right w:val="nil"/>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28.2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9" w:hRule="atLeast"/>
        </w:trPr>
        <w:tc>
          <w:tcPr>
            <w:tcW w:w="1974" w:type="dxa"/>
            <w:tcBorders>
              <w:left w:val="nil"/>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绿化</w:t>
            </w:r>
          </w:p>
        </w:tc>
        <w:tc>
          <w:tcPr>
            <w:tcW w:w="3221" w:type="dxa"/>
            <w:tcBorders>
              <w:right w:val="single" w:color="auto" w:sz="4" w:space="0"/>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产权式酒店绿化及景观</w:t>
            </w:r>
          </w:p>
        </w:tc>
        <w:tc>
          <w:tcPr>
            <w:tcW w:w="3327" w:type="dxa"/>
            <w:tcBorders>
              <w:left w:val="single" w:color="auto" w:sz="4" w:space="0"/>
              <w:right w:val="nil"/>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5027.84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74" w:type="dxa"/>
            <w:vMerge w:val="restart"/>
            <w:tcBorders>
              <w:left w:val="nil"/>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其他费用</w:t>
            </w:r>
          </w:p>
        </w:tc>
        <w:tc>
          <w:tcPr>
            <w:tcW w:w="3221" w:type="dxa"/>
            <w:tcBorders>
              <w:right w:val="single" w:color="auto" w:sz="4" w:space="0"/>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环境监测费</w:t>
            </w:r>
          </w:p>
        </w:tc>
        <w:tc>
          <w:tcPr>
            <w:tcW w:w="3327" w:type="dxa"/>
            <w:vMerge w:val="restart"/>
            <w:tcBorders>
              <w:left w:val="single" w:color="auto" w:sz="4" w:space="0"/>
              <w:right w:val="nil"/>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74" w:type="dxa"/>
            <w:vMerge w:val="continue"/>
            <w:tcBorders>
              <w:left w:val="nil"/>
            </w:tcBorders>
            <w:vAlign w:val="center"/>
          </w:tcPr>
          <w:p>
            <w:pPr>
              <w:spacing w:line="400" w:lineRule="exact"/>
              <w:jc w:val="center"/>
              <w:rPr>
                <w:rFonts w:ascii="宋体" w:hAnsi="宋体" w:eastAsia="宋体" w:cs="宋体"/>
                <w:color w:val="000000"/>
                <w:szCs w:val="21"/>
              </w:rPr>
            </w:pPr>
          </w:p>
        </w:tc>
        <w:tc>
          <w:tcPr>
            <w:tcW w:w="3221" w:type="dxa"/>
            <w:tcBorders>
              <w:right w:val="single" w:color="auto" w:sz="4" w:space="0"/>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环境监理费用</w:t>
            </w:r>
          </w:p>
        </w:tc>
        <w:tc>
          <w:tcPr>
            <w:tcW w:w="3327" w:type="dxa"/>
            <w:vMerge w:val="continue"/>
            <w:tcBorders>
              <w:left w:val="single" w:color="auto" w:sz="4" w:space="0"/>
              <w:right w:val="nil"/>
            </w:tcBorders>
          </w:tcPr>
          <w:p>
            <w:pPr>
              <w:spacing w:line="400" w:lineRule="exact"/>
              <w:jc w:val="center"/>
              <w:rPr>
                <w:rFonts w:ascii="宋体" w:hAnsi="宋体" w:eastAsia="宋体" w:cs="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74" w:type="dxa"/>
            <w:vMerge w:val="continue"/>
            <w:tcBorders>
              <w:left w:val="nil"/>
            </w:tcBorders>
            <w:vAlign w:val="center"/>
          </w:tcPr>
          <w:p>
            <w:pPr>
              <w:spacing w:line="400" w:lineRule="exact"/>
              <w:jc w:val="center"/>
              <w:rPr>
                <w:rFonts w:ascii="宋体" w:hAnsi="宋体" w:eastAsia="宋体" w:cs="宋体"/>
                <w:color w:val="000000"/>
                <w:szCs w:val="21"/>
              </w:rPr>
            </w:pPr>
          </w:p>
        </w:tc>
        <w:tc>
          <w:tcPr>
            <w:tcW w:w="3221" w:type="dxa"/>
            <w:tcBorders>
              <w:right w:val="single" w:color="auto" w:sz="4" w:space="0"/>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竣工环保验收监测报告编制费用</w:t>
            </w:r>
          </w:p>
        </w:tc>
        <w:tc>
          <w:tcPr>
            <w:tcW w:w="3327" w:type="dxa"/>
            <w:vMerge w:val="continue"/>
            <w:tcBorders>
              <w:left w:val="single" w:color="auto" w:sz="4" w:space="0"/>
              <w:right w:val="nil"/>
            </w:tcBorders>
          </w:tcPr>
          <w:p>
            <w:pPr>
              <w:spacing w:line="400" w:lineRule="exact"/>
              <w:jc w:val="center"/>
              <w:rPr>
                <w:rFonts w:ascii="宋体" w:hAnsi="宋体" w:eastAsia="宋体" w:cs="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195" w:type="dxa"/>
            <w:gridSpan w:val="2"/>
            <w:tcBorders>
              <w:left w:val="nil"/>
              <w:bottom w:val="single" w:color="auto" w:sz="12" w:space="0"/>
              <w:right w:val="single" w:color="auto" w:sz="4" w:space="0"/>
            </w:tcBorders>
            <w:vAlign w:val="center"/>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合计</w:t>
            </w:r>
          </w:p>
        </w:tc>
        <w:tc>
          <w:tcPr>
            <w:tcW w:w="3327" w:type="dxa"/>
            <w:tcBorders>
              <w:left w:val="single" w:color="auto" w:sz="4" w:space="0"/>
              <w:bottom w:val="single" w:color="auto" w:sz="12" w:space="0"/>
              <w:right w:val="nil"/>
            </w:tcBorders>
          </w:tcPr>
          <w:p>
            <w:pPr>
              <w:spacing w:line="400" w:lineRule="exact"/>
              <w:jc w:val="center"/>
              <w:rPr>
                <w:rFonts w:ascii="宋体" w:hAnsi="宋体" w:eastAsia="宋体" w:cs="宋体"/>
                <w:color w:val="000000"/>
                <w:szCs w:val="21"/>
              </w:rPr>
            </w:pPr>
            <w:r>
              <w:rPr>
                <w:rFonts w:hint="eastAsia" w:ascii="宋体" w:hAnsi="宋体" w:eastAsia="宋体" w:cs="宋体"/>
                <w:color w:val="000000"/>
                <w:szCs w:val="21"/>
              </w:rPr>
              <w:t>5104.54</w:t>
            </w:r>
          </w:p>
        </w:tc>
      </w:tr>
    </w:tbl>
    <w:p>
      <w:pPr>
        <w:spacing w:line="360" w:lineRule="auto"/>
        <w:outlineLvl w:val="0"/>
        <w:rPr>
          <w:rFonts w:ascii="宋体" w:hAnsi="宋体" w:eastAsia="宋体" w:cs="宋体"/>
          <w:b/>
          <w:bCs/>
          <w:sz w:val="28"/>
          <w:szCs w:val="28"/>
        </w:rPr>
      </w:pPr>
      <w:bookmarkStart w:id="11" w:name="_Toc9638"/>
      <w:r>
        <w:rPr>
          <w:rFonts w:hint="eastAsia" w:ascii="宋体" w:hAnsi="宋体" w:eastAsia="宋体" w:cs="宋体"/>
          <w:b/>
          <w:bCs/>
          <w:sz w:val="28"/>
          <w:szCs w:val="28"/>
        </w:rPr>
        <w:t>4环评主要结论、建议及批复要求</w:t>
      </w:r>
      <w:bookmarkEnd w:id="11"/>
    </w:p>
    <w:p>
      <w:pPr>
        <w:spacing w:line="360" w:lineRule="auto"/>
        <w:outlineLvl w:val="1"/>
        <w:rPr>
          <w:rFonts w:ascii="宋体" w:hAnsi="宋体" w:eastAsia="宋体" w:cs="宋体"/>
          <w:b/>
          <w:bCs/>
          <w:sz w:val="28"/>
          <w:szCs w:val="28"/>
        </w:rPr>
      </w:pPr>
      <w:bookmarkStart w:id="12" w:name="_Toc26880"/>
      <w:r>
        <w:rPr>
          <w:rFonts w:hint="eastAsia" w:ascii="宋体" w:hAnsi="宋体" w:eastAsia="宋体" w:cs="宋体"/>
          <w:b/>
          <w:bCs/>
          <w:sz w:val="28"/>
          <w:szCs w:val="28"/>
        </w:rPr>
        <w:t>4.1环评报告书综合结论与建议</w:t>
      </w:r>
      <w:bookmarkEnd w:id="12"/>
    </w:p>
    <w:p>
      <w:pPr>
        <w:pStyle w:val="3"/>
        <w:numPr>
          <w:ilvl w:val="0"/>
          <w:numId w:val="1"/>
        </w:numPr>
        <w:spacing w:line="360" w:lineRule="auto"/>
        <w:ind w:firstLine="560"/>
        <w:rPr>
          <w:rFonts w:ascii="宋体" w:hAnsi="宋体" w:eastAsia="宋体" w:cs="宋体"/>
          <w:color w:val="000000"/>
          <w:sz w:val="28"/>
          <w:szCs w:val="28"/>
        </w:rPr>
      </w:pPr>
      <w:r>
        <w:rPr>
          <w:rFonts w:hint="eastAsia" w:ascii="宋体" w:hAnsi="宋体" w:eastAsia="宋体" w:cs="宋体"/>
          <w:color w:val="000000"/>
          <w:sz w:val="28"/>
          <w:szCs w:val="28"/>
        </w:rPr>
        <w:t>生态环境治理措施</w:t>
      </w:r>
    </w:p>
    <w:p>
      <w:pPr>
        <w:snapToGrid w:val="0"/>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要求进行绿化，绿化面积不低于10%。选择抗逆物种，即当地易活、速生和便于管理的树种。</w:t>
      </w:r>
    </w:p>
    <w:p>
      <w:pPr>
        <w:pStyle w:val="3"/>
        <w:numPr>
          <w:ilvl w:val="0"/>
          <w:numId w:val="1"/>
        </w:numPr>
        <w:spacing w:line="360" w:lineRule="auto"/>
        <w:ind w:firstLine="560"/>
        <w:rPr>
          <w:rFonts w:ascii="宋体" w:hAnsi="宋体" w:eastAsia="宋体" w:cs="宋体"/>
          <w:color w:val="000000"/>
          <w:sz w:val="28"/>
          <w:szCs w:val="28"/>
        </w:rPr>
      </w:pPr>
      <w:r>
        <w:rPr>
          <w:rFonts w:hint="eastAsia" w:ascii="宋体" w:hAnsi="宋体" w:eastAsia="宋体" w:cs="宋体"/>
          <w:color w:val="000000"/>
          <w:sz w:val="28"/>
          <w:szCs w:val="28"/>
        </w:rPr>
        <w:t>大气污染防治措施</w:t>
      </w:r>
    </w:p>
    <w:p>
      <w:pPr>
        <w:pStyle w:val="3"/>
        <w:spacing w:line="360" w:lineRule="auto"/>
        <w:ind w:left="420" w:leftChars="200" w:firstLine="0" w:firstLineChars="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采暖锅炉、餐饮灶具及洗浴炉必须使用清洁燃料，如：电、液化</w:t>
      </w:r>
    </w:p>
    <w:p>
      <w:pPr>
        <w:pStyle w:val="3"/>
        <w:spacing w:line="360" w:lineRule="auto"/>
        <w:ind w:firstLine="0" w:firstLineChars="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气、天然气等。油烟必须安装油烟净化设施。</w:t>
      </w:r>
    </w:p>
    <w:p>
      <w:pPr>
        <w:pStyle w:val="3"/>
        <w:spacing w:line="360" w:lineRule="auto"/>
        <w:ind w:firstLine="560" w:firstLineChars="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（3）废水污染防治措施</w:t>
      </w:r>
    </w:p>
    <w:p>
      <w:pPr>
        <w:pStyle w:val="3"/>
        <w:spacing w:line="360" w:lineRule="auto"/>
        <w:ind w:firstLine="560" w:firstLineChars="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为保护地下水不受污染，要求污水处理系统和化粪池及其他地下构筑物，必须做好防渗处理。生活污水经化粪池处理后，进入污水处理装置，处理后达到GB8978-1996一级标准。可用于度假村内绿化及栽培，以充分利用水资源。必须采取严格的防渗措施，确保项目区水体不下渗，铺设防渗膜。</w:t>
      </w:r>
    </w:p>
    <w:p>
      <w:pPr>
        <w:pStyle w:val="3"/>
        <w:spacing w:line="360" w:lineRule="auto"/>
        <w:ind w:firstLine="56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（4）固体废弃物处置措施</w:t>
      </w:r>
    </w:p>
    <w:p>
      <w:pPr>
        <w:adjustRightInd w:val="0"/>
        <w:snapToGrid w:val="0"/>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color w:val="000000" w:themeColor="text1"/>
          <w:sz w:val="28"/>
          <w:szCs w:val="28"/>
          <w:lang w:val="zh-CN"/>
        </w:rPr>
        <w:t>生活垃圾袋装化分类处理，并及时送往垃圾转运站</w:t>
      </w:r>
      <w:r>
        <w:rPr>
          <w:rFonts w:hint="eastAsia" w:ascii="宋体" w:hAnsi="宋体" w:eastAsia="宋体" w:cs="宋体"/>
          <w:color w:val="000000" w:themeColor="text1"/>
          <w:sz w:val="28"/>
          <w:szCs w:val="28"/>
        </w:rPr>
        <w:t>。</w:t>
      </w:r>
    </w:p>
    <w:p>
      <w:pPr>
        <w:pStyle w:val="3"/>
        <w:spacing w:line="360" w:lineRule="auto"/>
        <w:ind w:firstLine="560"/>
        <w:rPr>
          <w:rFonts w:ascii="宋体" w:hAnsi="宋体" w:eastAsia="宋体" w:cs="宋体"/>
          <w:color w:val="000000"/>
          <w:sz w:val="28"/>
          <w:szCs w:val="28"/>
        </w:rPr>
      </w:pPr>
      <w:r>
        <w:rPr>
          <w:rFonts w:hint="eastAsia" w:ascii="宋体" w:hAnsi="宋体" w:eastAsia="宋体" w:cs="宋体"/>
          <w:color w:val="000000"/>
          <w:sz w:val="28"/>
          <w:szCs w:val="28"/>
        </w:rPr>
        <w:t>本工程在建设运行过程中，不可避免地会对周围环境产生一定的不利影响。只要加强管理，认真落实报告书中提出的各项污染防治措施及生态环境保护和恢复措施，就可以使本工程对环境造成的不利影响降到最低程度，使工程开发活动与环境保护协调发展，因此，从环境保护方面讲，本工程是可行的。</w:t>
      </w:r>
    </w:p>
    <w:p>
      <w:pPr>
        <w:pStyle w:val="3"/>
        <w:spacing w:line="360" w:lineRule="auto"/>
        <w:ind w:firstLine="562"/>
        <w:rPr>
          <w:rFonts w:ascii="宋体" w:hAnsi="宋体" w:eastAsia="宋体" w:cs="宋体"/>
          <w:b/>
          <w:color w:val="000000"/>
          <w:sz w:val="28"/>
          <w:szCs w:val="28"/>
        </w:rPr>
      </w:pPr>
      <w:r>
        <w:rPr>
          <w:rFonts w:hint="eastAsia" w:ascii="宋体" w:hAnsi="宋体" w:eastAsia="宋体" w:cs="宋体"/>
          <w:b/>
          <w:color w:val="000000"/>
          <w:sz w:val="28"/>
          <w:szCs w:val="28"/>
        </w:rPr>
        <w:t>建议：</w:t>
      </w:r>
    </w:p>
    <w:p>
      <w:pPr>
        <w:pStyle w:val="3"/>
        <w:spacing w:line="360" w:lineRule="auto"/>
        <w:ind w:firstLineChars="0"/>
        <w:rPr>
          <w:rFonts w:ascii="宋体" w:hAnsi="宋体" w:eastAsia="宋体" w:cs="宋体"/>
          <w:color w:val="000000"/>
          <w:sz w:val="28"/>
          <w:szCs w:val="28"/>
        </w:rPr>
      </w:pPr>
      <w:r>
        <w:rPr>
          <w:rFonts w:hint="eastAsia" w:ascii="宋体" w:hAnsi="宋体" w:eastAsia="宋体" w:cs="宋体"/>
          <w:color w:val="000000"/>
          <w:sz w:val="28"/>
          <w:szCs w:val="28"/>
        </w:rPr>
        <w:t>（1）建议加强生态环境保护的宣传工作，提高各级管理人员和施工人员的生态环境保护意识，使其自觉地做好生态环境工作。定期认真研究在不超出生态系统弹性条件下环境子系统能容纳的污染物数量，以及可支撑的经济规模与相适应的人口数量。</w:t>
      </w:r>
    </w:p>
    <w:p>
      <w:pPr>
        <w:spacing w:line="360" w:lineRule="auto"/>
        <w:ind w:firstLine="548" w:firstLineChars="196"/>
        <w:rPr>
          <w:rFonts w:ascii="宋体" w:hAnsi="宋体" w:eastAsia="宋体" w:cs="宋体"/>
          <w:color w:val="000000"/>
          <w:sz w:val="28"/>
          <w:szCs w:val="28"/>
        </w:rPr>
      </w:pPr>
      <w:r>
        <w:rPr>
          <w:rFonts w:hint="eastAsia" w:ascii="宋体" w:hAnsi="宋体" w:eastAsia="宋体" w:cs="宋体"/>
          <w:color w:val="000000"/>
          <w:sz w:val="28"/>
          <w:szCs w:val="28"/>
        </w:rPr>
        <w:t>（2）建议建设单位和设计单位在设计阶段对污水处理方案做进一步研究和论证，以优中选优。</w:t>
      </w:r>
    </w:p>
    <w:p>
      <w:pPr>
        <w:spacing w:line="360" w:lineRule="auto"/>
        <w:outlineLvl w:val="1"/>
        <w:rPr>
          <w:rFonts w:ascii="宋体" w:hAnsi="宋体" w:eastAsia="宋体" w:cs="宋体"/>
          <w:b/>
          <w:bCs/>
          <w:sz w:val="28"/>
          <w:szCs w:val="28"/>
        </w:rPr>
      </w:pPr>
      <w:bookmarkStart w:id="13" w:name="_Toc21653"/>
      <w:r>
        <w:rPr>
          <w:rFonts w:hint="eastAsia" w:ascii="宋体" w:hAnsi="宋体" w:eastAsia="宋体" w:cs="宋体"/>
          <w:b/>
          <w:bCs/>
          <w:sz w:val="28"/>
          <w:szCs w:val="28"/>
        </w:rPr>
        <w:t>4.2环评批复要求</w:t>
      </w:r>
      <w:bookmarkEnd w:id="13"/>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项目在实施过程中应做好以下工作：</w:t>
      </w:r>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（1）项目位于旅游风景区，同时是我市地下水一类保护区，项目在营运过程中产生的废水、废气、固废等都从严要求，按《报告书》提出的措施逐一落实。</w:t>
      </w:r>
    </w:p>
    <w:p>
      <w:pPr>
        <w:spacing w:line="360" w:lineRule="auto"/>
        <w:rPr>
          <w:rFonts w:ascii="宋体" w:hAnsi="宋体" w:eastAsia="宋体" w:cs="宋体"/>
          <w:sz w:val="28"/>
          <w:szCs w:val="28"/>
        </w:rPr>
      </w:pPr>
      <w:r>
        <w:rPr>
          <w:rFonts w:hint="eastAsia" w:ascii="宋体" w:hAnsi="宋体" w:eastAsia="宋体" w:cs="宋体"/>
          <w:sz w:val="28"/>
          <w:szCs w:val="28"/>
        </w:rPr>
        <w:t xml:space="preserve">    （2）废水必须经处理达到《污水综合排放标准》（GB8978-96）一级标准后综合利用和回用，不准利用渗透、渗井或漫流方式排放污水。</w:t>
      </w:r>
    </w:p>
    <w:p>
      <w:pPr>
        <w:spacing w:line="360" w:lineRule="auto"/>
        <w:ind w:firstLine="560"/>
        <w:rPr>
          <w:rFonts w:ascii="宋体" w:hAnsi="宋体" w:eastAsia="宋体" w:cs="宋体"/>
          <w:sz w:val="28"/>
          <w:szCs w:val="28"/>
        </w:rPr>
      </w:pPr>
      <w:r>
        <w:rPr>
          <w:rFonts w:hint="eastAsia" w:ascii="宋体" w:hAnsi="宋体" w:eastAsia="宋体" w:cs="宋体"/>
          <w:sz w:val="28"/>
          <w:szCs w:val="28"/>
        </w:rPr>
        <w:t>（3）锅炉应使用燃气锅炉，所排大气污染物应符合《锅炉大气污染物排放标准》（GB13271-2001）中Ⅱ时段一类区标准。</w:t>
      </w:r>
    </w:p>
    <w:p>
      <w:pPr>
        <w:spacing w:line="360" w:lineRule="auto"/>
        <w:ind w:firstLine="560"/>
        <w:rPr>
          <w:rFonts w:ascii="宋体" w:hAnsi="宋体" w:eastAsia="宋体" w:cs="宋体"/>
          <w:sz w:val="28"/>
          <w:szCs w:val="28"/>
        </w:rPr>
      </w:pPr>
      <w:r>
        <w:rPr>
          <w:rFonts w:hint="eastAsia" w:ascii="宋体" w:hAnsi="宋体" w:eastAsia="宋体" w:cs="宋体"/>
          <w:sz w:val="28"/>
          <w:szCs w:val="28"/>
        </w:rPr>
        <w:t>（4）及时收集垃圾及其它固体废弃物，运往垃圾场处理，不可随意在周围倾倒堆置。</w:t>
      </w:r>
    </w:p>
    <w:p>
      <w:pPr>
        <w:spacing w:line="360" w:lineRule="auto"/>
        <w:ind w:firstLine="560"/>
        <w:rPr>
          <w:rFonts w:ascii="宋体" w:hAnsi="宋体" w:eastAsia="宋体" w:cs="宋体"/>
          <w:sz w:val="28"/>
          <w:szCs w:val="28"/>
        </w:rPr>
      </w:pPr>
      <w:r>
        <w:rPr>
          <w:rFonts w:hint="eastAsia" w:ascii="宋体" w:hAnsi="宋体" w:eastAsia="宋体" w:cs="宋体"/>
          <w:sz w:val="28"/>
          <w:szCs w:val="28"/>
        </w:rPr>
        <w:t>（5）所有设施在外形设计上要与景观相协调。</w:t>
      </w:r>
    </w:p>
    <w:p>
      <w:pPr>
        <w:spacing w:line="360" w:lineRule="auto"/>
        <w:ind w:firstLine="560"/>
        <w:rPr>
          <w:rFonts w:ascii="宋体" w:hAnsi="宋体" w:eastAsia="宋体" w:cs="宋体"/>
          <w:sz w:val="28"/>
          <w:szCs w:val="28"/>
        </w:rPr>
      </w:pPr>
      <w:r>
        <w:rPr>
          <w:rFonts w:hint="eastAsia" w:ascii="宋体" w:hAnsi="宋体" w:eastAsia="宋体" w:cs="宋体"/>
          <w:sz w:val="28"/>
          <w:szCs w:val="28"/>
        </w:rPr>
        <w:t>（6）项目营运后要保持当地现有的生态环境功能，做好生态环境的保护工作，水要循环使用以减少地下水损失；因地制宜地植树种草，美化环境；项目建设过程中产生的废土石不能随意倾倒和堆置，要采取措施复垦，恢复植被。</w:t>
      </w:r>
    </w:p>
    <w:p>
      <w:pPr>
        <w:spacing w:line="360" w:lineRule="auto"/>
        <w:ind w:firstLine="560" w:firstLineChars="200"/>
        <w:rPr>
          <w:rFonts w:ascii="宋体" w:hAnsi="宋体" w:eastAsia="宋体" w:cs="宋体"/>
          <w:b/>
          <w:bCs/>
          <w:sz w:val="28"/>
          <w:szCs w:val="28"/>
        </w:rPr>
      </w:pPr>
      <w:r>
        <w:rPr>
          <w:rFonts w:hint="eastAsia" w:ascii="宋体" w:hAnsi="宋体" w:eastAsia="宋体" w:cs="宋体"/>
          <w:sz w:val="28"/>
          <w:szCs w:val="28"/>
        </w:rPr>
        <w:t>（7）做好日常环境保护监管工作，加强管理，保证各项污染防治设施正常运转。</w:t>
      </w: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outlineLvl w:val="0"/>
        <w:rPr>
          <w:rFonts w:ascii="宋体" w:hAnsi="宋体" w:eastAsia="宋体" w:cs="宋体"/>
          <w:b/>
          <w:bCs/>
          <w:sz w:val="28"/>
          <w:szCs w:val="28"/>
        </w:rPr>
      </w:pPr>
      <w:bookmarkStart w:id="14" w:name="_Toc24984"/>
      <w:r>
        <w:rPr>
          <w:rFonts w:hint="eastAsia" w:ascii="宋体" w:hAnsi="宋体" w:eastAsia="宋体" w:cs="宋体"/>
          <w:b/>
          <w:bCs/>
          <w:sz w:val="28"/>
          <w:szCs w:val="28"/>
        </w:rPr>
        <w:t>5环保措施落实情况</w:t>
      </w:r>
      <w:bookmarkEnd w:id="14"/>
    </w:p>
    <w:p>
      <w:pPr>
        <w:spacing w:line="360" w:lineRule="auto"/>
        <w:outlineLvl w:val="1"/>
        <w:rPr>
          <w:rFonts w:ascii="宋体" w:hAnsi="宋体" w:eastAsia="宋体" w:cs="宋体"/>
          <w:b/>
          <w:bCs/>
          <w:sz w:val="28"/>
          <w:szCs w:val="28"/>
        </w:rPr>
      </w:pPr>
      <w:bookmarkStart w:id="15" w:name="_Toc14647"/>
      <w:r>
        <w:rPr>
          <w:rFonts w:hint="eastAsia" w:ascii="宋体" w:hAnsi="宋体" w:eastAsia="宋体" w:cs="宋体"/>
          <w:b/>
          <w:bCs/>
          <w:sz w:val="28"/>
          <w:szCs w:val="28"/>
        </w:rPr>
        <w:t>5.1大气污染防治措施及落实情况</w:t>
      </w:r>
      <w:bookmarkEnd w:id="15"/>
    </w:p>
    <w:p>
      <w:pPr>
        <w:adjustRightInd w:val="0"/>
        <w:spacing w:line="360" w:lineRule="auto"/>
        <w:ind w:firstLine="560" w:firstLineChars="200"/>
        <w:rPr>
          <w:rFonts w:ascii="宋体" w:hAnsi="宋体" w:eastAsia="宋体" w:cs="宋体"/>
          <w:color w:val="000000"/>
          <w:sz w:val="28"/>
          <w:szCs w:val="28"/>
        </w:rPr>
      </w:pPr>
      <w:r>
        <w:rPr>
          <w:rFonts w:hint="eastAsia" w:ascii="宋体" w:hAnsi="宋体" w:eastAsia="宋体" w:cs="宋体"/>
          <w:color w:val="000000"/>
          <w:sz w:val="28"/>
          <w:szCs w:val="28"/>
        </w:rPr>
        <w:t>大气污染防治环保措施落实情况见表5-1。</w:t>
      </w:r>
    </w:p>
    <w:p>
      <w:pPr>
        <w:adjustRightInd w:val="0"/>
        <w:spacing w:line="360" w:lineRule="auto"/>
        <w:ind w:firstLine="422" w:firstLineChars="200"/>
        <w:jc w:val="center"/>
        <w:rPr>
          <w:rFonts w:ascii="宋体" w:hAnsi="宋体" w:eastAsia="宋体" w:cs="宋体"/>
          <w:b/>
          <w:bCs/>
          <w:color w:val="000000"/>
          <w:szCs w:val="21"/>
        </w:rPr>
      </w:pPr>
      <w:r>
        <w:rPr>
          <w:rFonts w:hint="eastAsia" w:ascii="宋体" w:hAnsi="宋体" w:eastAsia="宋体" w:cs="宋体"/>
          <w:b/>
          <w:bCs/>
          <w:color w:val="000000"/>
          <w:szCs w:val="21"/>
        </w:rPr>
        <w:t>表5-1   环评报告中提出的环保措施及落实情况</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3"/>
        <w:gridCol w:w="1020"/>
        <w:gridCol w:w="2676"/>
        <w:gridCol w:w="4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tcBorders>
              <w:top w:val="single" w:color="auto" w:sz="12" w:space="0"/>
              <w:left w:val="nil"/>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要素</w:t>
            </w:r>
          </w:p>
        </w:tc>
        <w:tc>
          <w:tcPr>
            <w:tcW w:w="1020" w:type="dxa"/>
            <w:tcBorders>
              <w:top w:val="single" w:color="auto" w:sz="12" w:space="0"/>
              <w:bottom w:val="single" w:color="auto" w:sz="12" w:space="0"/>
            </w:tcBorders>
            <w:vAlign w:val="center"/>
          </w:tcPr>
          <w:p>
            <w:pPr>
              <w:adjustRightInd w:val="0"/>
              <w:spacing w:line="360" w:lineRule="exact"/>
              <w:jc w:val="center"/>
              <w:rPr>
                <w:rFonts w:ascii="宋体" w:hAnsi="宋体" w:eastAsia="宋体" w:cs="宋体"/>
                <w:color w:val="000000"/>
                <w:szCs w:val="21"/>
              </w:rPr>
            </w:pPr>
          </w:p>
        </w:tc>
        <w:tc>
          <w:tcPr>
            <w:tcW w:w="2676" w:type="dxa"/>
            <w:tcBorders>
              <w:top w:val="single" w:color="auto" w:sz="12" w:space="0"/>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环评要求</w:t>
            </w:r>
          </w:p>
        </w:tc>
        <w:tc>
          <w:tcPr>
            <w:tcW w:w="4153" w:type="dxa"/>
            <w:tcBorders>
              <w:top w:val="single" w:color="auto" w:sz="12" w:space="0"/>
              <w:bottom w:val="single" w:color="auto" w:sz="12" w:space="0"/>
              <w:right w:val="nil"/>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vMerge w:val="restart"/>
            <w:tcBorders>
              <w:top w:val="single" w:color="auto" w:sz="12" w:space="0"/>
              <w:left w:val="nil"/>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大气环境</w:t>
            </w:r>
          </w:p>
        </w:tc>
        <w:tc>
          <w:tcPr>
            <w:tcW w:w="1020" w:type="dxa"/>
            <w:tcBorders>
              <w:top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施工期</w:t>
            </w:r>
          </w:p>
        </w:tc>
        <w:tc>
          <w:tcPr>
            <w:tcW w:w="2676" w:type="dxa"/>
            <w:tcBorders>
              <w:top w:val="single" w:color="auto" w:sz="12" w:space="0"/>
            </w:tcBorders>
            <w:vAlign w:val="center"/>
          </w:tcPr>
          <w:p>
            <w:pPr>
              <w:spacing w:line="360" w:lineRule="exact"/>
              <w:jc w:val="center"/>
              <w:rPr>
                <w:rFonts w:ascii="宋体" w:hAnsi="宋体" w:eastAsia="宋体" w:cs="宋体"/>
                <w:color w:val="000000"/>
                <w:szCs w:val="21"/>
              </w:rPr>
            </w:pPr>
            <w:r>
              <w:rPr>
                <w:rFonts w:hint="eastAsia" w:ascii="宋体" w:hAnsi="宋体" w:eastAsia="宋体" w:cs="宋体"/>
                <w:szCs w:val="21"/>
              </w:rPr>
              <w:t>本</w:t>
            </w:r>
            <w:r>
              <w:rPr>
                <w:rFonts w:hint="eastAsia" w:ascii="宋体" w:hAnsi="宋体" w:eastAsia="宋体" w:cs="宋体"/>
                <w:color w:val="000000"/>
                <w:szCs w:val="21"/>
              </w:rPr>
              <w:t>项目环评未对施工期大气提出要求。</w:t>
            </w:r>
          </w:p>
        </w:tc>
        <w:tc>
          <w:tcPr>
            <w:tcW w:w="4153" w:type="dxa"/>
            <w:tcBorders>
              <w:top w:val="single" w:color="auto" w:sz="12" w:space="0"/>
              <w:right w:val="nil"/>
            </w:tcBorders>
            <w:vAlign w:val="center"/>
          </w:tcPr>
          <w:p>
            <w:pPr>
              <w:spacing w:line="360" w:lineRule="exact"/>
              <w:rPr>
                <w:rFonts w:ascii="宋体" w:hAnsi="宋体" w:eastAsia="宋体" w:cs="宋体"/>
                <w:color w:val="000000"/>
                <w:szCs w:val="21"/>
              </w:rPr>
            </w:pPr>
            <w:r>
              <w:rPr>
                <w:rFonts w:hint="eastAsia" w:ascii="宋体" w:hAnsi="宋体" w:eastAsia="宋体" w:cs="宋体"/>
                <w:color w:val="000000" w:themeColor="text1"/>
                <w:szCs w:val="21"/>
              </w:rPr>
              <w:t>本项目施工期间对环境空气的污染主要来自施工扬尘和运输车辆排放的汽车尾气。本项目施工期间，对可能产生二次扬尘的作业进行洒水降尘，同时对运输土石方等的车辆采取密闭措施，防止沿路抛洒、污染沿线村庄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vMerge w:val="continue"/>
            <w:tcBorders>
              <w:left w:val="nil"/>
              <w:bottom w:val="single" w:color="auto" w:sz="12" w:space="0"/>
            </w:tcBorders>
            <w:vAlign w:val="center"/>
          </w:tcPr>
          <w:p>
            <w:pPr>
              <w:adjustRightInd w:val="0"/>
              <w:spacing w:line="360" w:lineRule="exact"/>
              <w:jc w:val="center"/>
              <w:rPr>
                <w:rFonts w:ascii="宋体" w:hAnsi="宋体" w:eastAsia="宋体" w:cs="宋体"/>
                <w:color w:val="000000"/>
                <w:szCs w:val="21"/>
              </w:rPr>
            </w:pPr>
          </w:p>
        </w:tc>
        <w:tc>
          <w:tcPr>
            <w:tcW w:w="1020" w:type="dxa"/>
            <w:tcBorders>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运营期</w:t>
            </w:r>
          </w:p>
        </w:tc>
        <w:tc>
          <w:tcPr>
            <w:tcW w:w="2676" w:type="dxa"/>
            <w:tcBorders>
              <w:bottom w:val="single" w:color="auto" w:sz="12" w:space="0"/>
            </w:tcBorders>
            <w:vAlign w:val="center"/>
          </w:tcPr>
          <w:p>
            <w:pPr>
              <w:spacing w:line="360" w:lineRule="exact"/>
              <w:jc w:val="center"/>
              <w:rPr>
                <w:rFonts w:ascii="宋体" w:hAnsi="宋体" w:eastAsia="宋体" w:cs="宋体"/>
                <w:color w:val="000000" w:themeColor="text1"/>
                <w:szCs w:val="21"/>
              </w:rPr>
            </w:pPr>
            <w:r>
              <w:rPr>
                <w:rFonts w:hint="eastAsia" w:ascii="宋体" w:hAnsi="宋体" w:eastAsia="宋体" w:cs="宋体"/>
                <w:color w:val="000000" w:themeColor="text1"/>
                <w:szCs w:val="21"/>
              </w:rPr>
              <w:t>采暖锅炉、餐饮灶具及洗浴炉必须使用清洁燃料，如：电、液化气、天然气等。油烟必须安装油烟净化设施。</w:t>
            </w:r>
          </w:p>
          <w:p>
            <w:pPr>
              <w:adjustRightInd w:val="0"/>
              <w:spacing w:line="360" w:lineRule="exact"/>
              <w:jc w:val="center"/>
              <w:rPr>
                <w:rFonts w:ascii="宋体" w:hAnsi="宋体" w:eastAsia="宋体" w:cs="宋体"/>
                <w:color w:val="000000"/>
                <w:szCs w:val="21"/>
              </w:rPr>
            </w:pPr>
          </w:p>
        </w:tc>
        <w:tc>
          <w:tcPr>
            <w:tcW w:w="4153" w:type="dxa"/>
            <w:tcBorders>
              <w:bottom w:val="single" w:color="auto" w:sz="12" w:space="0"/>
              <w:right w:val="nil"/>
            </w:tcBorders>
            <w:vAlign w:val="center"/>
          </w:tcPr>
          <w:p>
            <w:pPr>
              <w:adjustRightInd w:val="0"/>
              <w:spacing w:line="360" w:lineRule="exact"/>
              <w:jc w:val="left"/>
              <w:rPr>
                <w:rFonts w:ascii="宋体" w:hAnsi="宋体" w:eastAsia="宋体" w:cs="宋体"/>
                <w:color w:val="000000"/>
                <w:szCs w:val="21"/>
              </w:rPr>
            </w:pPr>
            <w:r>
              <w:rPr>
                <w:rFonts w:hint="eastAsia" w:ascii="宋体" w:hAnsi="宋体" w:eastAsia="宋体" w:cs="宋体"/>
                <w:color w:val="000000"/>
                <w:szCs w:val="21"/>
              </w:rPr>
              <w:t>本项目的废气污染物主要为燃气锅炉排放的大气污染物，建设单位</w:t>
            </w:r>
            <w:r>
              <w:rPr>
                <w:rFonts w:hint="eastAsia" w:ascii="宋体" w:hAnsi="宋体" w:eastAsia="宋体" w:cs="宋体"/>
                <w:color w:val="000000" w:themeColor="text1"/>
                <w:szCs w:val="21"/>
              </w:rPr>
              <w:t>共建设2座锅炉房，2016年建设单位将原有2台燃煤锅炉更换为3台燃气锅炉（2台1t/h，1台0.5t/h），其产生的污染物分别通过8m高的烟囱排放。</w:t>
            </w:r>
          </w:p>
        </w:tc>
      </w:tr>
    </w:tbl>
    <w:p>
      <w:pPr>
        <w:adjustRightInd w:val="0"/>
        <w:spacing w:line="360" w:lineRule="auto"/>
        <w:ind w:firstLine="560" w:firstLineChars="200"/>
        <w:rPr>
          <w:rFonts w:ascii="宋体" w:hAnsi="宋体" w:eastAsia="宋体" w:cs="宋体"/>
          <w:color w:val="000000"/>
          <w:sz w:val="28"/>
          <w:szCs w:val="28"/>
        </w:rPr>
      </w:pPr>
    </w:p>
    <w:p>
      <w:pPr>
        <w:spacing w:line="360" w:lineRule="auto"/>
        <w:rPr>
          <w:rFonts w:ascii="Times New Roman" w:hAnsi="Times New Roman" w:eastAsia="宋体" w:cs="Times New Roman"/>
          <w:color w:val="000000" w:themeColor="text1"/>
          <w:sz w:val="28"/>
          <w:szCs w:val="28"/>
        </w:rPr>
      </w:pPr>
      <w:r>
        <w:rPr>
          <w:rFonts w:hint="eastAsia" w:ascii="Times New Roman" w:hAnsi="Times New Roman" w:eastAsia="宋体" w:cs="Times New Roman"/>
          <w:color w:val="000000" w:themeColor="text1"/>
          <w:sz w:val="28"/>
          <w:szCs w:val="28"/>
        </w:rPr>
        <w:drawing>
          <wp:inline distT="0" distB="0" distL="114300" distR="114300">
            <wp:extent cx="2558415" cy="1918970"/>
            <wp:effectExtent l="0" t="0" r="1905" b="1270"/>
            <wp:docPr id="10" name="图片 10" descr="webwxgetmsgim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ebwxgetmsgimg (19)"/>
                    <pic:cNvPicPr>
                      <a:picLocks noChangeAspect="1"/>
                    </pic:cNvPicPr>
                  </pic:nvPicPr>
                  <pic:blipFill>
                    <a:blip r:embed="rId9"/>
                    <a:stretch>
                      <a:fillRect/>
                    </a:stretch>
                  </pic:blipFill>
                  <pic:spPr>
                    <a:xfrm>
                      <a:off x="0" y="0"/>
                      <a:ext cx="2558415" cy="1918970"/>
                    </a:xfrm>
                    <a:prstGeom prst="rect">
                      <a:avLst/>
                    </a:prstGeom>
                  </pic:spPr>
                </pic:pic>
              </a:graphicData>
            </a:graphic>
          </wp:inline>
        </w:drawing>
      </w:r>
      <w:r>
        <w:rPr>
          <w:rFonts w:hint="eastAsia" w:ascii="Times New Roman" w:hAnsi="Times New Roman" w:eastAsia="宋体" w:cs="Times New Roman"/>
          <w:color w:val="000000" w:themeColor="text1"/>
          <w:sz w:val="28"/>
          <w:szCs w:val="28"/>
        </w:rPr>
        <w:drawing>
          <wp:inline distT="0" distB="0" distL="114300" distR="114300">
            <wp:extent cx="2574925" cy="1931670"/>
            <wp:effectExtent l="0" t="0" r="635" b="3810"/>
            <wp:docPr id="59" name="图片 59" descr="webwxgetmsgim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webwxgetmsgimg (16)"/>
                    <pic:cNvPicPr>
                      <a:picLocks noChangeAspect="1"/>
                    </pic:cNvPicPr>
                  </pic:nvPicPr>
                  <pic:blipFill>
                    <a:blip r:embed="rId10"/>
                    <a:stretch>
                      <a:fillRect/>
                    </a:stretch>
                  </pic:blipFill>
                  <pic:spPr>
                    <a:xfrm>
                      <a:off x="0" y="0"/>
                      <a:ext cx="2574925" cy="1931670"/>
                    </a:xfrm>
                    <a:prstGeom prst="rect">
                      <a:avLst/>
                    </a:prstGeom>
                  </pic:spPr>
                </pic:pic>
              </a:graphicData>
            </a:graphic>
          </wp:inline>
        </w:drawing>
      </w:r>
    </w:p>
    <w:p>
      <w:pPr>
        <w:spacing w:line="360" w:lineRule="auto"/>
        <w:ind w:firstLine="1265" w:firstLineChars="600"/>
        <w:rPr>
          <w:rFonts w:ascii="Times New Roman" w:hAnsi="Times New Roman" w:eastAsia="宋体" w:cs="Times New Roman"/>
          <w:b/>
          <w:bCs/>
          <w:color w:val="000000" w:themeColor="text1"/>
          <w:szCs w:val="21"/>
        </w:rPr>
      </w:pPr>
      <w:r>
        <w:rPr>
          <w:rFonts w:hint="eastAsia" w:ascii="Times New Roman" w:hAnsi="Times New Roman" w:eastAsia="宋体" w:cs="Times New Roman"/>
          <w:b/>
          <w:bCs/>
          <w:color w:val="000000" w:themeColor="text1"/>
          <w:szCs w:val="21"/>
        </w:rPr>
        <w:t>供暖燃气锅炉                          洗浴供水燃气锅炉</w:t>
      </w:r>
    </w:p>
    <w:p>
      <w:pPr>
        <w:spacing w:line="360" w:lineRule="auto"/>
        <w:rPr>
          <w:rFonts w:ascii="宋体" w:hAnsi="宋体" w:eastAsia="宋体" w:cs="宋体"/>
          <w:b/>
          <w:bCs/>
          <w:sz w:val="30"/>
          <w:szCs w:val="30"/>
        </w:rPr>
      </w:pPr>
      <w:r>
        <w:rPr>
          <w:rFonts w:hint="eastAsia" w:ascii="宋体" w:hAnsi="宋体" w:eastAsia="宋体" w:cs="宋体"/>
          <w:b/>
          <w:bCs/>
          <w:sz w:val="30"/>
          <w:szCs w:val="30"/>
        </w:rPr>
        <w:drawing>
          <wp:inline distT="0" distB="0" distL="114300" distR="114300">
            <wp:extent cx="2504440" cy="3342005"/>
            <wp:effectExtent l="0" t="0" r="10160" b="10795"/>
            <wp:docPr id="1" name="图片 1" descr="webwxgetmsgim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ebwxgetmsgimg (20)"/>
                    <pic:cNvPicPr>
                      <a:picLocks noChangeAspect="1"/>
                    </pic:cNvPicPr>
                  </pic:nvPicPr>
                  <pic:blipFill>
                    <a:blip r:embed="rId11"/>
                    <a:stretch>
                      <a:fillRect/>
                    </a:stretch>
                  </pic:blipFill>
                  <pic:spPr>
                    <a:xfrm>
                      <a:off x="0" y="0"/>
                      <a:ext cx="2504440" cy="3342005"/>
                    </a:xfrm>
                    <a:prstGeom prst="rect">
                      <a:avLst/>
                    </a:prstGeom>
                  </pic:spPr>
                </pic:pic>
              </a:graphicData>
            </a:graphic>
          </wp:inline>
        </w:drawing>
      </w:r>
      <w:r>
        <w:rPr>
          <w:rFonts w:hint="eastAsia" w:ascii="宋体" w:hAnsi="宋体" w:eastAsia="宋体" w:cs="宋体"/>
          <w:b/>
          <w:bCs/>
          <w:sz w:val="30"/>
          <w:szCs w:val="30"/>
        </w:rPr>
        <w:drawing>
          <wp:inline distT="0" distB="0" distL="114300" distR="114300">
            <wp:extent cx="2510790" cy="3348990"/>
            <wp:effectExtent l="0" t="0" r="3810" b="3810"/>
            <wp:docPr id="31" name="图片 31" descr="webwxgetmsgim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webwxgetmsgimg (2)"/>
                    <pic:cNvPicPr>
                      <a:picLocks noChangeAspect="1"/>
                    </pic:cNvPicPr>
                  </pic:nvPicPr>
                  <pic:blipFill>
                    <a:blip r:embed="rId12"/>
                    <a:stretch>
                      <a:fillRect/>
                    </a:stretch>
                  </pic:blipFill>
                  <pic:spPr>
                    <a:xfrm>
                      <a:off x="0" y="0"/>
                      <a:ext cx="2510790" cy="3348990"/>
                    </a:xfrm>
                    <a:prstGeom prst="rect">
                      <a:avLst/>
                    </a:prstGeom>
                  </pic:spPr>
                </pic:pic>
              </a:graphicData>
            </a:graphic>
          </wp:inline>
        </w:drawing>
      </w:r>
    </w:p>
    <w:p>
      <w:pPr>
        <w:spacing w:line="360" w:lineRule="auto"/>
        <w:jc w:val="center"/>
        <w:rPr>
          <w:rFonts w:ascii="宋体" w:hAnsi="宋体" w:eastAsia="宋体" w:cs="宋体"/>
          <w:b/>
          <w:bCs/>
          <w:color w:val="000000" w:themeColor="text1"/>
          <w:sz w:val="30"/>
          <w:szCs w:val="30"/>
        </w:rPr>
      </w:pPr>
      <w:r>
        <w:rPr>
          <w:rFonts w:hint="eastAsia" w:ascii="宋体" w:hAnsi="宋体" w:eastAsia="宋体" w:cs="宋体"/>
          <w:b/>
          <w:bCs/>
          <w:color w:val="000000" w:themeColor="text1"/>
          <w:szCs w:val="21"/>
        </w:rPr>
        <w:t>锅炉房烟囱</w:t>
      </w:r>
    </w:p>
    <w:p>
      <w:pPr>
        <w:spacing w:line="360" w:lineRule="auto"/>
        <w:rPr>
          <w:rFonts w:ascii="宋体" w:hAnsi="宋体" w:eastAsia="宋体" w:cs="宋体"/>
          <w:b/>
          <w:bCs/>
          <w:sz w:val="28"/>
          <w:szCs w:val="28"/>
        </w:rPr>
      </w:pPr>
      <w:r>
        <w:rPr>
          <w:rFonts w:hint="eastAsia" w:ascii="宋体" w:hAnsi="宋体" w:eastAsia="宋体" w:cs="宋体"/>
          <w:b/>
          <w:bCs/>
          <w:sz w:val="28"/>
          <w:szCs w:val="28"/>
        </w:rPr>
        <w:drawing>
          <wp:inline distT="0" distB="0" distL="114300" distR="114300">
            <wp:extent cx="2511425" cy="3350895"/>
            <wp:effectExtent l="0" t="0" r="3175" b="1905"/>
            <wp:docPr id="15" name="图片 15" descr="webwxgetmsgim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ebwxgetmsgimg (12)"/>
                    <pic:cNvPicPr>
                      <a:picLocks noChangeAspect="1"/>
                    </pic:cNvPicPr>
                  </pic:nvPicPr>
                  <pic:blipFill>
                    <a:blip r:embed="rId13"/>
                    <a:stretch>
                      <a:fillRect/>
                    </a:stretch>
                  </pic:blipFill>
                  <pic:spPr>
                    <a:xfrm>
                      <a:off x="0" y="0"/>
                      <a:ext cx="2511425" cy="3350895"/>
                    </a:xfrm>
                    <a:prstGeom prst="rect">
                      <a:avLst/>
                    </a:prstGeom>
                  </pic:spPr>
                </pic:pic>
              </a:graphicData>
            </a:graphic>
          </wp:inline>
        </w:drawing>
      </w:r>
      <w:r>
        <w:rPr>
          <w:rFonts w:hint="eastAsia" w:ascii="宋体" w:hAnsi="宋体" w:eastAsia="宋体" w:cs="宋体"/>
          <w:b/>
          <w:bCs/>
          <w:sz w:val="28"/>
          <w:szCs w:val="28"/>
        </w:rPr>
        <w:drawing>
          <wp:inline distT="0" distB="0" distL="114300" distR="114300">
            <wp:extent cx="2491740" cy="3323590"/>
            <wp:effectExtent l="0" t="0" r="7620" b="13970"/>
            <wp:docPr id="14" name="图片 14" descr="webwxgetmsgim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ebwxgetmsgimg (15)"/>
                    <pic:cNvPicPr>
                      <a:picLocks noChangeAspect="1"/>
                    </pic:cNvPicPr>
                  </pic:nvPicPr>
                  <pic:blipFill>
                    <a:blip r:embed="rId14"/>
                    <a:stretch>
                      <a:fillRect/>
                    </a:stretch>
                  </pic:blipFill>
                  <pic:spPr>
                    <a:xfrm>
                      <a:off x="0" y="0"/>
                      <a:ext cx="2491740" cy="3323590"/>
                    </a:xfrm>
                    <a:prstGeom prst="rect">
                      <a:avLst/>
                    </a:prstGeom>
                  </pic:spPr>
                </pic:pic>
              </a:graphicData>
            </a:graphic>
          </wp:inline>
        </w:drawing>
      </w:r>
    </w:p>
    <w:p>
      <w:pPr>
        <w:spacing w:line="360" w:lineRule="auto"/>
        <w:jc w:val="center"/>
        <w:rPr>
          <w:rFonts w:ascii="宋体" w:hAnsi="宋体" w:eastAsia="宋体" w:cs="宋体"/>
          <w:b/>
          <w:bCs/>
          <w:szCs w:val="21"/>
        </w:rPr>
      </w:pPr>
      <w:r>
        <w:rPr>
          <w:rFonts w:hint="eastAsia" w:ascii="宋体" w:hAnsi="宋体" w:eastAsia="宋体" w:cs="宋体"/>
          <w:b/>
          <w:bCs/>
          <w:szCs w:val="21"/>
        </w:rPr>
        <w:t>锅炉铭牌</w:t>
      </w:r>
    </w:p>
    <w:p>
      <w:pPr>
        <w:spacing w:line="360" w:lineRule="auto"/>
        <w:outlineLvl w:val="1"/>
        <w:rPr>
          <w:rFonts w:ascii="宋体" w:hAnsi="宋体" w:eastAsia="宋体" w:cs="宋体"/>
          <w:b/>
          <w:bCs/>
          <w:sz w:val="28"/>
          <w:szCs w:val="28"/>
        </w:rPr>
      </w:pPr>
      <w:bookmarkStart w:id="16" w:name="_Toc11412"/>
      <w:r>
        <w:rPr>
          <w:rFonts w:hint="eastAsia" w:ascii="宋体" w:hAnsi="宋体" w:eastAsia="宋体" w:cs="宋体"/>
          <w:b/>
          <w:bCs/>
          <w:sz w:val="28"/>
          <w:szCs w:val="28"/>
        </w:rPr>
        <w:t>5.2废水治理措施及落实情况</w:t>
      </w:r>
      <w:bookmarkEnd w:id="16"/>
    </w:p>
    <w:p>
      <w:pPr>
        <w:adjustRightInd w:val="0"/>
        <w:spacing w:line="360" w:lineRule="auto"/>
        <w:ind w:firstLine="560" w:firstLineChars="200"/>
        <w:rPr>
          <w:rFonts w:ascii="宋体" w:hAnsi="宋体" w:eastAsia="宋体" w:cs="宋体"/>
          <w:color w:val="000000"/>
          <w:sz w:val="28"/>
          <w:szCs w:val="28"/>
        </w:rPr>
      </w:pPr>
      <w:r>
        <w:rPr>
          <w:rFonts w:hint="eastAsia" w:ascii="宋体" w:hAnsi="宋体" w:eastAsia="宋体" w:cs="宋体"/>
          <w:color w:val="000000"/>
          <w:sz w:val="28"/>
          <w:szCs w:val="28"/>
        </w:rPr>
        <w:t>具体落实情况见表5-2。</w:t>
      </w:r>
    </w:p>
    <w:p>
      <w:pPr>
        <w:adjustRightInd w:val="0"/>
        <w:spacing w:line="360" w:lineRule="auto"/>
        <w:ind w:firstLine="422" w:firstLineChars="200"/>
        <w:jc w:val="center"/>
        <w:rPr>
          <w:rFonts w:ascii="宋体" w:hAnsi="宋体" w:eastAsia="宋体" w:cs="宋体"/>
          <w:b/>
          <w:bCs/>
          <w:color w:val="000000"/>
          <w:szCs w:val="21"/>
        </w:rPr>
      </w:pPr>
    </w:p>
    <w:p>
      <w:pPr>
        <w:adjustRightInd w:val="0"/>
        <w:spacing w:line="360" w:lineRule="auto"/>
        <w:ind w:firstLine="422" w:firstLineChars="200"/>
        <w:jc w:val="center"/>
        <w:rPr>
          <w:rFonts w:ascii="宋体" w:hAnsi="宋体" w:eastAsia="宋体" w:cs="宋体"/>
          <w:b/>
          <w:bCs/>
          <w:color w:val="000000"/>
          <w:szCs w:val="21"/>
        </w:rPr>
      </w:pPr>
    </w:p>
    <w:p>
      <w:pPr>
        <w:adjustRightInd w:val="0"/>
        <w:spacing w:line="360" w:lineRule="auto"/>
        <w:ind w:firstLine="422" w:firstLineChars="200"/>
        <w:jc w:val="center"/>
        <w:rPr>
          <w:rFonts w:ascii="宋体" w:hAnsi="宋体" w:eastAsia="宋体" w:cs="宋体"/>
          <w:b/>
          <w:bCs/>
          <w:color w:val="000000"/>
          <w:szCs w:val="21"/>
        </w:rPr>
      </w:pPr>
      <w:r>
        <w:rPr>
          <w:rFonts w:hint="eastAsia" w:ascii="宋体" w:hAnsi="宋体" w:eastAsia="宋体" w:cs="宋体"/>
          <w:b/>
          <w:bCs/>
          <w:color w:val="000000"/>
          <w:szCs w:val="21"/>
        </w:rPr>
        <w:t>表5-2   环评报告中提出的污水环保措施及落实情况</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3"/>
        <w:gridCol w:w="1020"/>
        <w:gridCol w:w="3336"/>
        <w:gridCol w:w="34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tcBorders>
              <w:top w:val="single" w:color="auto" w:sz="12" w:space="0"/>
              <w:left w:val="nil"/>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要素</w:t>
            </w:r>
          </w:p>
        </w:tc>
        <w:tc>
          <w:tcPr>
            <w:tcW w:w="1020" w:type="dxa"/>
            <w:tcBorders>
              <w:top w:val="single" w:color="auto" w:sz="12" w:space="0"/>
              <w:bottom w:val="single" w:color="auto" w:sz="12" w:space="0"/>
            </w:tcBorders>
            <w:vAlign w:val="center"/>
          </w:tcPr>
          <w:p>
            <w:pPr>
              <w:adjustRightInd w:val="0"/>
              <w:spacing w:line="360" w:lineRule="exact"/>
              <w:jc w:val="center"/>
              <w:rPr>
                <w:rFonts w:ascii="宋体" w:hAnsi="宋体" w:eastAsia="宋体" w:cs="宋体"/>
                <w:color w:val="000000"/>
                <w:szCs w:val="21"/>
              </w:rPr>
            </w:pPr>
          </w:p>
        </w:tc>
        <w:tc>
          <w:tcPr>
            <w:tcW w:w="3336" w:type="dxa"/>
            <w:tcBorders>
              <w:top w:val="single" w:color="auto" w:sz="12" w:space="0"/>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环评要求</w:t>
            </w:r>
          </w:p>
        </w:tc>
        <w:tc>
          <w:tcPr>
            <w:tcW w:w="3493" w:type="dxa"/>
            <w:tcBorders>
              <w:top w:val="single" w:color="auto" w:sz="12" w:space="0"/>
              <w:bottom w:val="single" w:color="auto" w:sz="12" w:space="0"/>
              <w:right w:val="nil"/>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vMerge w:val="restart"/>
            <w:tcBorders>
              <w:top w:val="single" w:color="auto" w:sz="12" w:space="0"/>
              <w:left w:val="nil"/>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水环境</w:t>
            </w:r>
          </w:p>
        </w:tc>
        <w:tc>
          <w:tcPr>
            <w:tcW w:w="1020" w:type="dxa"/>
            <w:tcBorders>
              <w:top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施工期</w:t>
            </w:r>
          </w:p>
        </w:tc>
        <w:tc>
          <w:tcPr>
            <w:tcW w:w="3336" w:type="dxa"/>
            <w:tcBorders>
              <w:top w:val="single" w:color="auto" w:sz="12" w:space="0"/>
            </w:tcBorders>
            <w:vAlign w:val="center"/>
          </w:tcPr>
          <w:p>
            <w:pPr>
              <w:spacing w:line="360" w:lineRule="exact"/>
              <w:ind w:firstLine="420" w:firstLineChars="200"/>
              <w:rPr>
                <w:rFonts w:ascii="宋体" w:hAnsi="宋体" w:eastAsia="宋体" w:cs="宋体"/>
                <w:color w:val="000000" w:themeColor="text1"/>
                <w:szCs w:val="21"/>
              </w:rPr>
            </w:pPr>
            <w:r>
              <w:rPr>
                <w:rFonts w:hint="eastAsia" w:ascii="宋体" w:hAnsi="宋体" w:eastAsia="宋体" w:cs="宋体"/>
                <w:color w:val="000000" w:themeColor="text1"/>
                <w:szCs w:val="21"/>
              </w:rPr>
              <w:t>施工期营地不能设置在水体旁，施工人员的生活污水集中处理，排入化粪池处理并定期清掏。</w:t>
            </w:r>
          </w:p>
          <w:p>
            <w:pPr>
              <w:spacing w:line="360" w:lineRule="exact"/>
              <w:ind w:firstLine="420" w:firstLineChars="200"/>
              <w:rPr>
                <w:rFonts w:ascii="宋体" w:hAnsi="宋体" w:eastAsia="宋体" w:cs="宋体"/>
                <w:color w:val="000000"/>
                <w:szCs w:val="21"/>
              </w:rPr>
            </w:pPr>
            <w:r>
              <w:rPr>
                <w:rFonts w:hint="eastAsia" w:ascii="宋体" w:hAnsi="宋体" w:eastAsia="宋体" w:cs="宋体"/>
                <w:color w:val="000000" w:themeColor="text1"/>
                <w:szCs w:val="21"/>
              </w:rPr>
              <w:t>含有毒有害物质的建筑材料如沥青、水泥等不准堆放在水体附近，并应设篷盖和围栏，防止雨水冲刷进入水体。</w:t>
            </w:r>
          </w:p>
        </w:tc>
        <w:tc>
          <w:tcPr>
            <w:tcW w:w="3493" w:type="dxa"/>
            <w:tcBorders>
              <w:top w:val="single" w:color="auto" w:sz="12" w:space="0"/>
              <w:right w:val="nil"/>
            </w:tcBorders>
            <w:vAlign w:val="center"/>
          </w:tcPr>
          <w:p>
            <w:pPr>
              <w:spacing w:line="360" w:lineRule="exact"/>
              <w:rPr>
                <w:rFonts w:ascii="宋体" w:hAnsi="宋体" w:eastAsia="宋体" w:cs="宋体"/>
                <w:b/>
                <w:bCs/>
                <w:color w:val="FF0000"/>
                <w:szCs w:val="21"/>
              </w:rPr>
            </w:pPr>
            <w:r>
              <w:rPr>
                <w:rFonts w:hint="eastAsia" w:ascii="宋体" w:hAnsi="宋体" w:eastAsia="宋体" w:cs="宋体"/>
                <w:color w:val="000000" w:themeColor="text1"/>
                <w:szCs w:val="21"/>
              </w:rPr>
              <w:t>施工废水经临时沉淀池沉淀后回用车辆轮胎冲洗，施工人员的生活污水排入化粪池内定期清掏。建筑材料堆放于仓库内。</w:t>
            </w:r>
          </w:p>
          <w:p>
            <w:pPr>
              <w:spacing w:line="360" w:lineRule="exact"/>
              <w:rPr>
                <w:rFonts w:ascii="宋体" w:hAnsi="宋体" w:eastAsia="宋体" w:cs="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vMerge w:val="continue"/>
            <w:tcBorders>
              <w:left w:val="nil"/>
              <w:bottom w:val="single" w:color="auto" w:sz="12" w:space="0"/>
            </w:tcBorders>
            <w:vAlign w:val="center"/>
          </w:tcPr>
          <w:p>
            <w:pPr>
              <w:adjustRightInd w:val="0"/>
              <w:spacing w:line="360" w:lineRule="exact"/>
              <w:jc w:val="center"/>
              <w:rPr>
                <w:rFonts w:ascii="宋体" w:hAnsi="宋体" w:eastAsia="宋体" w:cs="宋体"/>
                <w:color w:val="000000"/>
                <w:szCs w:val="21"/>
              </w:rPr>
            </w:pPr>
          </w:p>
        </w:tc>
        <w:tc>
          <w:tcPr>
            <w:tcW w:w="1020" w:type="dxa"/>
            <w:tcBorders>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运营期</w:t>
            </w:r>
          </w:p>
        </w:tc>
        <w:tc>
          <w:tcPr>
            <w:tcW w:w="3336" w:type="dxa"/>
            <w:tcBorders>
              <w:bottom w:val="single" w:color="auto" w:sz="12" w:space="0"/>
            </w:tcBorders>
            <w:vAlign w:val="center"/>
          </w:tcPr>
          <w:p>
            <w:pPr>
              <w:spacing w:line="360" w:lineRule="exact"/>
              <w:ind w:firstLine="420" w:firstLineChars="200"/>
              <w:rPr>
                <w:rFonts w:ascii="宋体" w:hAnsi="宋体" w:eastAsia="宋体" w:cs="宋体"/>
                <w:color w:val="000000"/>
                <w:szCs w:val="21"/>
              </w:rPr>
            </w:pPr>
            <w:r>
              <w:rPr>
                <w:rFonts w:hint="eastAsia" w:ascii="宋体" w:hAnsi="宋体" w:eastAsia="宋体" w:cs="宋体"/>
                <w:color w:val="000000" w:themeColor="text1"/>
                <w:szCs w:val="21"/>
              </w:rPr>
              <w:t>根据项目所在地理位置为保护地下水不受污染，要求污水处理系统和化粪池及其他地下构筑物，必须做好防渗处理。生活污水经化粪池处理后，进入污水处理装置，处理后达到GB8978-1996一级标准。可用于度假村内绿化及栽培，以充分利用水资源。必须采取严格的防渗措施，确保项目区水体不下渗，铺设防渗膜。</w:t>
            </w:r>
          </w:p>
        </w:tc>
        <w:tc>
          <w:tcPr>
            <w:tcW w:w="3493" w:type="dxa"/>
            <w:tcBorders>
              <w:bottom w:val="single" w:color="auto" w:sz="12" w:space="0"/>
              <w:right w:val="nil"/>
            </w:tcBorders>
            <w:vAlign w:val="center"/>
          </w:tcPr>
          <w:p>
            <w:pPr>
              <w:spacing w:line="360" w:lineRule="exact"/>
              <w:rPr>
                <w:rFonts w:ascii="宋体" w:hAnsi="宋体" w:eastAsia="宋体" w:cs="宋体"/>
                <w:color w:val="000000" w:themeColor="text1"/>
                <w:szCs w:val="21"/>
              </w:rPr>
            </w:pPr>
            <w:r>
              <w:rPr>
                <w:rFonts w:hint="eastAsia" w:ascii="宋体" w:hAnsi="宋体" w:eastAsia="宋体" w:cs="宋体"/>
                <w:color w:val="000000" w:themeColor="text1"/>
                <w:szCs w:val="21"/>
              </w:rPr>
              <w:t>本项目未建设地埋式污水处理系统，项目产生的生活污水排入化粪池内，</w:t>
            </w:r>
            <w:r>
              <w:rPr>
                <w:rFonts w:hint="eastAsia" w:ascii="宋体" w:hAnsi="宋体" w:eastAsia="宋体" w:cs="宋体"/>
                <w:szCs w:val="21"/>
              </w:rPr>
              <w:t>定期由</w:t>
            </w:r>
            <w:r>
              <w:rPr>
                <w:rFonts w:hint="eastAsia" w:ascii="宋体" w:hAnsi="宋体" w:eastAsia="宋体" w:cs="宋体"/>
                <w:color w:val="000000" w:themeColor="text1"/>
                <w:szCs w:val="21"/>
              </w:rPr>
              <w:t>呼和浩特市大禹排水综合服务有限公司清运至呼和浩特海纳源清水环境发展有限责任公司金桥污水处理厂进行处理。</w:t>
            </w:r>
          </w:p>
          <w:p>
            <w:pPr>
              <w:spacing w:line="360" w:lineRule="exact"/>
              <w:rPr>
                <w:rFonts w:ascii="宋体" w:hAnsi="宋体" w:eastAsia="宋体" w:cs="宋体"/>
                <w:color w:val="000000" w:themeColor="text1"/>
                <w:szCs w:val="21"/>
              </w:rPr>
            </w:pPr>
            <w:r>
              <w:rPr>
                <w:rFonts w:hint="eastAsia" w:ascii="宋体" w:hAnsi="宋体" w:eastAsia="宋体" w:cs="宋体"/>
                <w:color w:val="000000" w:themeColor="text1"/>
                <w:szCs w:val="21"/>
              </w:rPr>
              <w:t>化粪池已采取防渗措施，防渗系数</w:t>
            </w:r>
            <w:r>
              <w:rPr>
                <w:rFonts w:ascii="Arial" w:hAnsi="Arial" w:eastAsia="宋体" w:cs="Arial"/>
                <w:color w:val="000000" w:themeColor="text1"/>
                <w:szCs w:val="21"/>
              </w:rPr>
              <w:t>≤</w:t>
            </w:r>
            <w:r>
              <w:rPr>
                <w:rFonts w:hint="eastAsia" w:ascii="宋体" w:hAnsi="宋体" w:eastAsia="宋体" w:cs="宋体"/>
                <w:color w:val="000000" w:themeColor="text1"/>
                <w:szCs w:val="21"/>
              </w:rPr>
              <w:t>10</w:t>
            </w:r>
            <w:r>
              <w:rPr>
                <w:rFonts w:hint="eastAsia" w:ascii="宋体" w:hAnsi="宋体" w:eastAsia="宋体" w:cs="宋体"/>
                <w:color w:val="000000" w:themeColor="text1"/>
                <w:szCs w:val="21"/>
                <w:vertAlign w:val="superscript"/>
              </w:rPr>
              <w:t>-7</w:t>
            </w:r>
            <w:r>
              <w:rPr>
                <w:rFonts w:hint="eastAsia" w:ascii="宋体" w:hAnsi="宋体" w:eastAsia="宋体" w:cs="宋体"/>
                <w:color w:val="000000" w:themeColor="text1"/>
                <w:szCs w:val="21"/>
              </w:rPr>
              <w:t>。根据防渗检测报告，防渗系数为0.8</w:t>
            </w:r>
            <w:r>
              <w:rPr>
                <w:rFonts w:hint="eastAsia" w:ascii="仿宋" w:hAnsi="仿宋" w:eastAsia="仿宋" w:cs="仿宋"/>
                <w:color w:val="000000" w:themeColor="text1"/>
                <w:szCs w:val="21"/>
              </w:rPr>
              <w:t>×</w:t>
            </w:r>
            <w:r>
              <w:rPr>
                <w:rFonts w:hint="eastAsia" w:ascii="宋体" w:hAnsi="宋体" w:eastAsia="宋体" w:cs="宋体"/>
                <w:color w:val="000000" w:themeColor="text1"/>
                <w:szCs w:val="21"/>
              </w:rPr>
              <w:t>10</w:t>
            </w:r>
            <w:r>
              <w:rPr>
                <w:rFonts w:hint="eastAsia" w:ascii="宋体" w:hAnsi="宋体" w:eastAsia="宋体" w:cs="宋体"/>
                <w:color w:val="000000" w:themeColor="text1"/>
                <w:szCs w:val="21"/>
                <w:vertAlign w:val="superscript"/>
              </w:rPr>
              <w:t>-13</w:t>
            </w:r>
            <w:r>
              <w:rPr>
                <w:rFonts w:hint="eastAsia" w:ascii="宋体" w:hAnsi="宋体" w:eastAsia="宋体" w:cs="宋体"/>
                <w:color w:val="000000" w:themeColor="text1"/>
                <w:szCs w:val="21"/>
              </w:rPr>
              <w:t>。</w:t>
            </w:r>
          </w:p>
          <w:p>
            <w:pPr>
              <w:adjustRightInd w:val="0"/>
              <w:spacing w:line="360" w:lineRule="exact"/>
              <w:jc w:val="center"/>
              <w:rPr>
                <w:rFonts w:ascii="宋体" w:hAnsi="宋体" w:eastAsia="宋体" w:cs="宋体"/>
                <w:color w:val="000000"/>
                <w:szCs w:val="21"/>
              </w:rPr>
            </w:pPr>
          </w:p>
        </w:tc>
      </w:tr>
    </w:tbl>
    <w:p>
      <w:pPr>
        <w:spacing w:line="360" w:lineRule="auto"/>
        <w:ind w:firstLine="200" w:firstLineChars="200"/>
        <w:rPr>
          <w:rFonts w:ascii="宋体" w:hAnsi="宋体" w:eastAsia="宋体" w:cs="宋体"/>
          <w:sz w:val="10"/>
          <w:szCs w:val="10"/>
        </w:rPr>
      </w:pPr>
    </w:p>
    <w:p>
      <w:pPr>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sz w:val="28"/>
          <w:szCs w:val="28"/>
        </w:rPr>
        <w:t>本项目运营期间产生的废水主要为生活污水。生活污水经排入化粪池内，定期由</w:t>
      </w:r>
      <w:r>
        <w:rPr>
          <w:rFonts w:hint="eastAsia" w:ascii="宋体" w:hAnsi="宋体" w:eastAsia="宋体" w:cs="宋体"/>
          <w:color w:val="000000" w:themeColor="text1"/>
          <w:sz w:val="28"/>
          <w:szCs w:val="28"/>
        </w:rPr>
        <w:t>呼和浩特市大禹排水综合服务有限公司清运至呼和浩特海纳源清水环境发展有限责任公司金桥污水处理厂进行处理（拉运协议附件2，处理协议附件3）。建设单位建立了污水拉运台账，明确了拉运时间及拉运量。</w:t>
      </w:r>
    </w:p>
    <w:p>
      <w:pPr>
        <w:spacing w:line="360" w:lineRule="auto"/>
        <w:ind w:firstLine="560" w:firstLineChars="200"/>
        <w:rPr>
          <w:rFonts w:ascii="宋体" w:hAnsi="宋体" w:eastAsia="宋体" w:cs="宋体"/>
          <w:bCs/>
          <w:sz w:val="28"/>
          <w:szCs w:val="28"/>
        </w:rPr>
      </w:pPr>
      <w:r>
        <w:rPr>
          <w:rFonts w:hint="eastAsia" w:ascii="宋体" w:hAnsi="宋体" w:eastAsia="宋体" w:cs="宋体"/>
          <w:color w:val="000000"/>
          <w:sz w:val="28"/>
          <w:szCs w:val="28"/>
        </w:rPr>
        <w:t>产权式酒店</w:t>
      </w:r>
      <w:r>
        <w:rPr>
          <w:rFonts w:hint="eastAsia" w:ascii="宋体" w:hAnsi="宋体" w:eastAsia="宋体" w:cs="宋体"/>
          <w:bCs/>
          <w:sz w:val="28"/>
          <w:szCs w:val="28"/>
        </w:rPr>
        <w:t>配套建设6座化粪池，总容积120m</w:t>
      </w:r>
      <w:r>
        <w:rPr>
          <w:rFonts w:hint="eastAsia" w:ascii="宋体" w:hAnsi="宋体" w:eastAsia="宋体" w:cs="宋体"/>
          <w:bCs/>
          <w:sz w:val="28"/>
          <w:szCs w:val="28"/>
          <w:vertAlign w:val="superscript"/>
        </w:rPr>
        <w:t>3</w:t>
      </w:r>
      <w:r>
        <w:rPr>
          <w:rFonts w:hint="eastAsia" w:ascii="宋体" w:hAnsi="宋体" w:eastAsia="宋体" w:cs="宋体"/>
          <w:bCs/>
          <w:sz w:val="28"/>
          <w:szCs w:val="28"/>
        </w:rPr>
        <w:t>。根据预防为主的原则，建设单位对化粪池的建设采取了严格的防渗措施，根据建设单位的资料记载，化粪池施工时底部铺设碎石后浇筑C15混凝土100mm做垫层，然后铺设2.0mm厚HDPE膜1层，墙壁用C30混凝土浇筑，壁厚200mm，最后铺贴2层聚乙烯丙纶复合防水卷材（单层厚0.8mm），</w:t>
      </w:r>
      <w:r>
        <w:rPr>
          <w:rFonts w:hint="eastAsia" w:ascii="宋体" w:hAnsi="宋体" w:eastAsia="宋体" w:cs="宋体"/>
          <w:color w:val="000000" w:themeColor="text1"/>
          <w:sz w:val="28"/>
          <w:szCs w:val="28"/>
        </w:rPr>
        <w:t>防渗系数≤10</w:t>
      </w:r>
      <w:r>
        <w:rPr>
          <w:rFonts w:hint="eastAsia" w:ascii="宋体" w:hAnsi="宋体" w:eastAsia="宋体" w:cs="宋体"/>
          <w:color w:val="000000" w:themeColor="text1"/>
          <w:sz w:val="28"/>
          <w:szCs w:val="28"/>
          <w:vertAlign w:val="superscript"/>
        </w:rPr>
        <w:t>-7</w:t>
      </w:r>
      <w:r>
        <w:rPr>
          <w:rFonts w:hint="eastAsia" w:ascii="宋体" w:hAnsi="宋体" w:eastAsia="宋体" w:cs="宋体"/>
          <w:bCs/>
          <w:sz w:val="28"/>
          <w:szCs w:val="28"/>
        </w:rPr>
        <w:t>，复合防水卷材检验合格报告见附件4。</w:t>
      </w:r>
    </w:p>
    <w:p>
      <w:pPr>
        <w:spacing w:line="360" w:lineRule="auto"/>
        <w:ind w:firstLine="560" w:firstLineChars="200"/>
        <w:jc w:val="left"/>
        <w:rPr>
          <w:rFonts w:ascii="宋体" w:hAnsi="宋体" w:eastAsia="宋体" w:cs="宋体"/>
          <w:color w:val="000000" w:themeColor="text1"/>
          <w:sz w:val="28"/>
          <w:szCs w:val="28"/>
        </w:rPr>
      </w:pPr>
      <w:r>
        <w:rPr>
          <w:rFonts w:hint="eastAsia" w:ascii="宋体" w:hAnsi="宋体" w:eastAsia="宋体" w:cs="宋体"/>
          <w:bCs/>
          <w:sz w:val="28"/>
          <w:szCs w:val="28"/>
        </w:rPr>
        <w:t>建设单位对铺设的防渗膜厚度委托内蒙古自治区建材产品质量检验院进行检测，其厚度为2.0mm，防渗系数</w:t>
      </w:r>
      <w:r>
        <w:rPr>
          <w:rFonts w:hint="eastAsia" w:ascii="宋体" w:hAnsi="宋体" w:eastAsia="宋体" w:cs="宋体"/>
          <w:color w:val="000000" w:themeColor="text1"/>
          <w:sz w:val="28"/>
          <w:szCs w:val="28"/>
        </w:rPr>
        <w:t>≤10</w:t>
      </w:r>
      <w:r>
        <w:rPr>
          <w:rFonts w:hint="eastAsia" w:ascii="宋体" w:hAnsi="宋体" w:eastAsia="宋体" w:cs="宋体"/>
          <w:color w:val="000000" w:themeColor="text1"/>
          <w:sz w:val="28"/>
          <w:szCs w:val="28"/>
          <w:vertAlign w:val="superscript"/>
        </w:rPr>
        <w:t>-7</w:t>
      </w:r>
      <w:r>
        <w:rPr>
          <w:rFonts w:hint="eastAsia" w:ascii="宋体" w:hAnsi="宋体" w:eastAsia="宋体" w:cs="宋体"/>
          <w:bCs/>
          <w:sz w:val="28"/>
          <w:szCs w:val="28"/>
        </w:rPr>
        <w:t xml:space="preserve">。  </w:t>
      </w:r>
      <w:r>
        <w:rPr>
          <w:rFonts w:hint="eastAsia" w:ascii="宋体" w:hAnsi="宋体" w:eastAsia="宋体" w:cs="宋体"/>
          <w:b/>
          <w:bCs/>
          <w:color w:val="000000" w:themeColor="text1"/>
          <w:szCs w:val="21"/>
        </w:rPr>
        <w:drawing>
          <wp:inline distT="0" distB="0" distL="114300" distR="114300">
            <wp:extent cx="2498090" cy="3333750"/>
            <wp:effectExtent l="0" t="0" r="1270" b="3810"/>
            <wp:docPr id="21" name="图片 21" descr="webwxgetmsgim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ebwxgetmsgimg (6)"/>
                    <pic:cNvPicPr>
                      <a:picLocks noChangeAspect="1"/>
                    </pic:cNvPicPr>
                  </pic:nvPicPr>
                  <pic:blipFill>
                    <a:blip r:embed="rId15"/>
                    <a:stretch>
                      <a:fillRect/>
                    </a:stretch>
                  </pic:blipFill>
                  <pic:spPr>
                    <a:xfrm>
                      <a:off x="0" y="0"/>
                      <a:ext cx="2498090" cy="3333750"/>
                    </a:xfrm>
                    <a:prstGeom prst="rect">
                      <a:avLst/>
                    </a:prstGeom>
                  </pic:spPr>
                </pic:pic>
              </a:graphicData>
            </a:graphic>
          </wp:inline>
        </w:drawing>
      </w:r>
      <w:r>
        <w:rPr>
          <w:rFonts w:hint="eastAsia" w:ascii="宋体" w:hAnsi="宋体" w:eastAsia="宋体" w:cs="宋体"/>
          <w:b/>
          <w:bCs/>
          <w:color w:val="000000" w:themeColor="text1"/>
          <w:szCs w:val="21"/>
        </w:rPr>
        <w:drawing>
          <wp:inline distT="0" distB="0" distL="114300" distR="114300">
            <wp:extent cx="2498090" cy="3333750"/>
            <wp:effectExtent l="0" t="0" r="1270" b="3810"/>
            <wp:docPr id="20" name="图片 20" descr="webwxgetmsgim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ebwxgetmsgimg (2)"/>
                    <pic:cNvPicPr>
                      <a:picLocks noChangeAspect="1"/>
                    </pic:cNvPicPr>
                  </pic:nvPicPr>
                  <pic:blipFill>
                    <a:blip r:embed="rId16"/>
                    <a:stretch>
                      <a:fillRect/>
                    </a:stretch>
                  </pic:blipFill>
                  <pic:spPr>
                    <a:xfrm>
                      <a:off x="0" y="0"/>
                      <a:ext cx="2498090" cy="3333750"/>
                    </a:xfrm>
                    <a:prstGeom prst="rect">
                      <a:avLst/>
                    </a:prstGeom>
                  </pic:spPr>
                </pic:pic>
              </a:graphicData>
            </a:graphic>
          </wp:inline>
        </w:drawing>
      </w:r>
    </w:p>
    <w:p>
      <w:pPr>
        <w:spacing w:line="360" w:lineRule="auto"/>
        <w:ind w:firstLine="1265" w:firstLineChars="600"/>
        <w:rPr>
          <w:rFonts w:ascii="宋体" w:hAnsi="宋体" w:eastAsia="宋体" w:cs="宋体"/>
          <w:b/>
          <w:bCs/>
          <w:color w:val="000000" w:themeColor="text1"/>
          <w:szCs w:val="21"/>
        </w:rPr>
      </w:pPr>
      <w:r>
        <w:rPr>
          <w:rFonts w:hint="eastAsia" w:ascii="宋体" w:hAnsi="宋体" w:eastAsia="宋体" w:cs="宋体"/>
          <w:b/>
          <w:bCs/>
          <w:color w:val="000000" w:themeColor="text1"/>
          <w:szCs w:val="21"/>
        </w:rPr>
        <w:t>2017年污水拉运台账                 2018年污水拉运台账</w:t>
      </w:r>
    </w:p>
    <w:p>
      <w:pPr>
        <w:spacing w:line="360" w:lineRule="auto"/>
        <w:rPr>
          <w:rFonts w:ascii="宋体" w:hAnsi="宋体" w:eastAsia="宋体" w:cs="宋体"/>
          <w:bCs/>
          <w:sz w:val="28"/>
          <w:szCs w:val="28"/>
        </w:rPr>
      </w:pPr>
      <w:r>
        <w:rPr>
          <w:rFonts w:hint="eastAsia" w:ascii="宋体" w:hAnsi="宋体" w:eastAsia="宋体" w:cs="宋体"/>
          <w:bCs/>
          <w:sz w:val="28"/>
          <w:szCs w:val="28"/>
        </w:rPr>
        <w:drawing>
          <wp:inline distT="0" distB="0" distL="114300" distR="114300">
            <wp:extent cx="2523490" cy="3366135"/>
            <wp:effectExtent l="0" t="0" r="6350" b="1905"/>
            <wp:docPr id="32" name="图片 32" descr="webwxgetmsgim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webwxgetmsgimg (10)"/>
                    <pic:cNvPicPr>
                      <a:picLocks noChangeAspect="1"/>
                    </pic:cNvPicPr>
                  </pic:nvPicPr>
                  <pic:blipFill>
                    <a:blip r:embed="rId17"/>
                    <a:stretch>
                      <a:fillRect/>
                    </a:stretch>
                  </pic:blipFill>
                  <pic:spPr>
                    <a:xfrm>
                      <a:off x="0" y="0"/>
                      <a:ext cx="2523490" cy="3366135"/>
                    </a:xfrm>
                    <a:prstGeom prst="rect">
                      <a:avLst/>
                    </a:prstGeom>
                  </pic:spPr>
                </pic:pic>
              </a:graphicData>
            </a:graphic>
          </wp:inline>
        </w:drawing>
      </w:r>
      <w:r>
        <w:rPr>
          <w:rFonts w:hint="eastAsia" w:ascii="宋体" w:hAnsi="宋体" w:eastAsia="宋体" w:cs="宋体"/>
          <w:bCs/>
          <w:sz w:val="28"/>
          <w:szCs w:val="28"/>
        </w:rPr>
        <w:drawing>
          <wp:inline distT="0" distB="0" distL="114300" distR="114300">
            <wp:extent cx="2523490" cy="3366135"/>
            <wp:effectExtent l="0" t="0" r="6350" b="1905"/>
            <wp:docPr id="33" name="图片 33" descr="webwxgetmsgim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webwxgetmsgimg (9)"/>
                    <pic:cNvPicPr>
                      <a:picLocks noChangeAspect="1"/>
                    </pic:cNvPicPr>
                  </pic:nvPicPr>
                  <pic:blipFill>
                    <a:blip r:embed="rId18"/>
                    <a:stretch>
                      <a:fillRect/>
                    </a:stretch>
                  </pic:blipFill>
                  <pic:spPr>
                    <a:xfrm>
                      <a:off x="0" y="0"/>
                      <a:ext cx="2523490" cy="3366135"/>
                    </a:xfrm>
                    <a:prstGeom prst="rect">
                      <a:avLst/>
                    </a:prstGeom>
                  </pic:spPr>
                </pic:pic>
              </a:graphicData>
            </a:graphic>
          </wp:inline>
        </w:drawing>
      </w:r>
    </w:p>
    <w:p>
      <w:pPr>
        <w:spacing w:line="360" w:lineRule="auto"/>
        <w:jc w:val="center"/>
        <w:rPr>
          <w:rFonts w:ascii="宋体" w:hAnsi="宋体" w:eastAsia="宋体" w:cs="宋体"/>
          <w:bCs/>
          <w:sz w:val="28"/>
          <w:szCs w:val="28"/>
        </w:rPr>
      </w:pPr>
      <w:r>
        <w:rPr>
          <w:rFonts w:hint="eastAsia" w:ascii="宋体" w:hAnsi="宋体" w:eastAsia="宋体" w:cs="宋体"/>
          <w:b/>
          <w:szCs w:val="21"/>
        </w:rPr>
        <w:t>土工膜订购合同</w:t>
      </w:r>
    </w:p>
    <w:p>
      <w:pPr>
        <w:spacing w:line="360" w:lineRule="auto"/>
        <w:rPr>
          <w:rFonts w:ascii="宋体" w:hAnsi="宋体" w:eastAsia="宋体" w:cs="宋体"/>
          <w:bCs/>
          <w:sz w:val="28"/>
          <w:szCs w:val="28"/>
        </w:rPr>
      </w:pPr>
      <w:r>
        <w:rPr>
          <w:rFonts w:hint="eastAsia" w:ascii="宋体" w:hAnsi="宋体" w:eastAsia="宋体" w:cs="宋体"/>
          <w:bCs/>
          <w:sz w:val="28"/>
          <w:szCs w:val="28"/>
        </w:rPr>
        <w:drawing>
          <wp:inline distT="0" distB="0" distL="114300" distR="114300">
            <wp:extent cx="2606675" cy="3474085"/>
            <wp:effectExtent l="0" t="0" r="14605" b="635"/>
            <wp:docPr id="30" name="图片 30" descr="webwxgetmsgim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webwxgetmsgimg (8)"/>
                    <pic:cNvPicPr>
                      <a:picLocks noChangeAspect="1"/>
                    </pic:cNvPicPr>
                  </pic:nvPicPr>
                  <pic:blipFill>
                    <a:blip r:embed="rId19"/>
                    <a:stretch>
                      <a:fillRect/>
                    </a:stretch>
                  </pic:blipFill>
                  <pic:spPr>
                    <a:xfrm>
                      <a:off x="0" y="0"/>
                      <a:ext cx="2606675" cy="3474085"/>
                    </a:xfrm>
                    <a:prstGeom prst="rect">
                      <a:avLst/>
                    </a:prstGeom>
                  </pic:spPr>
                </pic:pic>
              </a:graphicData>
            </a:graphic>
          </wp:inline>
        </w:drawing>
      </w:r>
      <w:r>
        <w:rPr>
          <w:rFonts w:hint="eastAsia" w:ascii="宋体" w:hAnsi="宋体" w:eastAsia="宋体" w:cs="宋体"/>
          <w:bCs/>
          <w:sz w:val="28"/>
          <w:szCs w:val="28"/>
        </w:rPr>
        <w:drawing>
          <wp:inline distT="0" distB="0" distL="114300" distR="114300">
            <wp:extent cx="2607945" cy="3474720"/>
            <wp:effectExtent l="0" t="0" r="13335" b="0"/>
            <wp:docPr id="22" name="图片 22" descr="webwxgetmsgim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ebwxgetmsgimg (3)"/>
                    <pic:cNvPicPr>
                      <a:picLocks noChangeAspect="1"/>
                    </pic:cNvPicPr>
                  </pic:nvPicPr>
                  <pic:blipFill>
                    <a:blip r:embed="rId20"/>
                    <a:stretch>
                      <a:fillRect/>
                    </a:stretch>
                  </pic:blipFill>
                  <pic:spPr>
                    <a:xfrm>
                      <a:off x="0" y="0"/>
                      <a:ext cx="2607945" cy="3474720"/>
                    </a:xfrm>
                    <a:prstGeom prst="rect">
                      <a:avLst/>
                    </a:prstGeom>
                  </pic:spPr>
                </pic:pic>
              </a:graphicData>
            </a:graphic>
          </wp:inline>
        </w:drawing>
      </w:r>
    </w:p>
    <w:p>
      <w:pPr>
        <w:spacing w:line="360" w:lineRule="auto"/>
        <w:jc w:val="center"/>
        <w:rPr>
          <w:rFonts w:ascii="宋体" w:hAnsi="宋体" w:eastAsia="宋体" w:cs="宋体"/>
          <w:bCs/>
          <w:sz w:val="28"/>
          <w:szCs w:val="28"/>
        </w:rPr>
      </w:pPr>
      <w:r>
        <w:rPr>
          <w:rFonts w:hint="eastAsia" w:ascii="宋体" w:hAnsi="宋体" w:eastAsia="宋体" w:cs="宋体"/>
          <w:b/>
          <w:szCs w:val="21"/>
        </w:rPr>
        <w:t>土工膜检测报告</w:t>
      </w:r>
    </w:p>
    <w:p>
      <w:pPr>
        <w:spacing w:line="360" w:lineRule="auto"/>
        <w:jc w:val="center"/>
        <w:rPr>
          <w:rFonts w:ascii="宋体" w:hAnsi="宋体" w:eastAsia="宋体" w:cs="宋体"/>
          <w:b/>
          <w:bCs/>
          <w:color w:val="000000" w:themeColor="text1"/>
          <w:szCs w:val="21"/>
        </w:rPr>
      </w:pPr>
      <w:r>
        <w:rPr>
          <w:rFonts w:hint="eastAsia" w:ascii="宋体" w:hAnsi="宋体" w:eastAsia="宋体" w:cs="宋体"/>
          <w:bCs/>
          <w:sz w:val="28"/>
          <w:szCs w:val="28"/>
        </w:rPr>
        <w:drawing>
          <wp:inline distT="0" distB="0" distL="114300" distR="114300">
            <wp:extent cx="2454910" cy="3743960"/>
            <wp:effectExtent l="0" t="0" r="13970" b="5080"/>
            <wp:docPr id="2" name="图片 2" descr="webwxgetmsgim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ebwxgetmsgimg (1)"/>
                    <pic:cNvPicPr>
                      <a:picLocks noChangeAspect="1"/>
                    </pic:cNvPicPr>
                  </pic:nvPicPr>
                  <pic:blipFill>
                    <a:blip r:embed="rId21"/>
                    <a:stretch>
                      <a:fillRect/>
                    </a:stretch>
                  </pic:blipFill>
                  <pic:spPr>
                    <a:xfrm>
                      <a:off x="0" y="0"/>
                      <a:ext cx="2454910" cy="3743960"/>
                    </a:xfrm>
                    <a:prstGeom prst="rect">
                      <a:avLst/>
                    </a:prstGeom>
                  </pic:spPr>
                </pic:pic>
              </a:graphicData>
            </a:graphic>
          </wp:inline>
        </w:drawing>
      </w:r>
    </w:p>
    <w:p>
      <w:pPr>
        <w:spacing w:line="360" w:lineRule="auto"/>
        <w:ind w:firstLine="422" w:firstLineChars="200"/>
        <w:jc w:val="left"/>
        <w:rPr>
          <w:rFonts w:ascii="宋体" w:hAnsi="宋体" w:eastAsia="宋体" w:cs="宋体"/>
          <w:bCs/>
          <w:sz w:val="28"/>
          <w:szCs w:val="28"/>
        </w:rPr>
      </w:pPr>
      <w:r>
        <w:rPr>
          <w:rFonts w:hint="eastAsia" w:ascii="宋体" w:hAnsi="宋体" w:eastAsia="宋体" w:cs="宋体"/>
          <w:b/>
          <w:szCs w:val="21"/>
        </w:rPr>
        <w:t xml:space="preserve">          </w:t>
      </w:r>
      <w:r>
        <w:rPr>
          <w:rFonts w:hint="eastAsia" w:ascii="宋体" w:hAnsi="宋体" w:eastAsia="宋体" w:cs="宋体"/>
          <w:b/>
          <w:szCs w:val="21"/>
          <w:lang w:val="en-US" w:eastAsia="zh-CN"/>
        </w:rPr>
        <w:t xml:space="preserve">                 </w:t>
      </w:r>
      <w:r>
        <w:rPr>
          <w:rFonts w:hint="eastAsia" w:ascii="宋体" w:hAnsi="宋体" w:eastAsia="宋体" w:cs="宋体"/>
          <w:b/>
          <w:szCs w:val="21"/>
        </w:rPr>
        <w:t xml:space="preserve">土工膜检测报告 </w:t>
      </w:r>
    </w:p>
    <w:p>
      <w:pPr>
        <w:spacing w:line="360" w:lineRule="auto"/>
        <w:rPr>
          <w:rFonts w:ascii="宋体" w:hAnsi="宋体" w:eastAsia="宋体" w:cs="宋体"/>
          <w:b/>
          <w:bCs/>
          <w:sz w:val="28"/>
          <w:szCs w:val="28"/>
        </w:rPr>
      </w:pPr>
      <w:r>
        <w:rPr>
          <w:rFonts w:hint="eastAsia" w:ascii="宋体" w:hAnsi="宋体" w:eastAsia="宋体" w:cs="宋体"/>
          <w:b/>
          <w:bCs/>
          <w:color w:val="FF0000"/>
          <w:sz w:val="28"/>
          <w:szCs w:val="28"/>
        </w:rPr>
        <w:drawing>
          <wp:inline distT="0" distB="0" distL="114300" distR="114300">
            <wp:extent cx="1903095" cy="2538095"/>
            <wp:effectExtent l="0" t="0" r="1905" b="6985"/>
            <wp:docPr id="35" name="图片 35" descr="微信图片_2018012412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微信图片_20180124123456"/>
                    <pic:cNvPicPr>
                      <a:picLocks noChangeAspect="1"/>
                    </pic:cNvPicPr>
                  </pic:nvPicPr>
                  <pic:blipFill>
                    <a:blip r:embed="rId22"/>
                    <a:stretch>
                      <a:fillRect/>
                    </a:stretch>
                  </pic:blipFill>
                  <pic:spPr>
                    <a:xfrm>
                      <a:off x="0" y="0"/>
                      <a:ext cx="1903095" cy="2538095"/>
                    </a:xfrm>
                    <a:prstGeom prst="rect">
                      <a:avLst/>
                    </a:prstGeom>
                  </pic:spPr>
                </pic:pic>
              </a:graphicData>
            </a:graphic>
          </wp:inline>
        </w:drawing>
      </w:r>
      <w:r>
        <w:rPr>
          <w:rFonts w:hint="eastAsia" w:ascii="宋体" w:hAnsi="宋体" w:eastAsia="宋体" w:cs="宋体"/>
          <w:b/>
          <w:bCs/>
          <w:color w:val="FF0000"/>
          <w:sz w:val="28"/>
          <w:szCs w:val="28"/>
          <w:lang w:val="en-US" w:eastAsia="zh-CN"/>
        </w:rPr>
        <w:t xml:space="preserve"> </w:t>
      </w:r>
      <w:r>
        <w:rPr>
          <w:rFonts w:hint="eastAsia" w:ascii="宋体" w:hAnsi="宋体" w:eastAsia="宋体" w:cs="宋体"/>
          <w:b/>
          <w:bCs/>
          <w:sz w:val="28"/>
          <w:szCs w:val="28"/>
        </w:rPr>
        <w:drawing>
          <wp:inline distT="0" distB="0" distL="114300" distR="114300">
            <wp:extent cx="3144520" cy="2359025"/>
            <wp:effectExtent l="0" t="0" r="10160" b="3175"/>
            <wp:docPr id="11" name="图片 11" descr="webwxgetmsgim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ebwxgetmsgimg (1)"/>
                    <pic:cNvPicPr>
                      <a:picLocks noChangeAspect="1"/>
                    </pic:cNvPicPr>
                  </pic:nvPicPr>
                  <pic:blipFill>
                    <a:blip r:embed="rId23"/>
                    <a:stretch>
                      <a:fillRect/>
                    </a:stretch>
                  </pic:blipFill>
                  <pic:spPr>
                    <a:xfrm>
                      <a:off x="0" y="0"/>
                      <a:ext cx="3144520" cy="2359025"/>
                    </a:xfrm>
                    <a:prstGeom prst="rect">
                      <a:avLst/>
                    </a:prstGeom>
                  </pic:spPr>
                </pic:pic>
              </a:graphicData>
            </a:graphic>
          </wp:inline>
        </w:drawing>
      </w:r>
    </w:p>
    <w:p>
      <w:pPr>
        <w:spacing w:line="360" w:lineRule="auto"/>
        <w:ind w:firstLine="843" w:firstLineChars="400"/>
        <w:rPr>
          <w:rFonts w:ascii="宋体" w:hAnsi="宋体" w:eastAsia="宋体" w:cs="宋体"/>
          <w:b/>
          <w:bCs/>
          <w:szCs w:val="21"/>
        </w:rPr>
      </w:pPr>
      <w:r>
        <w:rPr>
          <w:rFonts w:hint="eastAsia" w:ascii="宋体" w:hAnsi="宋体" w:eastAsia="宋体" w:cs="宋体"/>
          <w:b/>
          <w:bCs/>
          <w:szCs w:val="21"/>
        </w:rPr>
        <w:t>施工中的化粪池                     建成后的化粪池</w:t>
      </w:r>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本项目设置的6座化粪池在产权式酒店一期内的分布及编号见图5.1。</w:t>
      </w:r>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本项目一期工程共建设39栋产权式酒店，目前仅入住2户，入住量较低，化粪池容积可以满足生活污水容纳要求。按照全部入住，每户3人、每人80L·d排放量计算，最大生活污水产生量为9.36m</w:t>
      </w:r>
      <w:r>
        <w:rPr>
          <w:rFonts w:hint="eastAsia" w:ascii="宋体" w:hAnsi="宋体" w:eastAsia="宋体" w:cs="宋体"/>
          <w:sz w:val="28"/>
          <w:szCs w:val="28"/>
          <w:vertAlign w:val="superscript"/>
        </w:rPr>
        <w:t>3</w:t>
      </w:r>
      <w:r>
        <w:rPr>
          <w:rFonts w:hint="eastAsia" w:ascii="宋体" w:hAnsi="宋体" w:eastAsia="宋体" w:cs="宋体"/>
          <w:sz w:val="28"/>
          <w:szCs w:val="28"/>
        </w:rPr>
        <w:t>/d,化粪池容积可容纳12天生活污水排放量。</w:t>
      </w:r>
    </w:p>
    <w:p>
      <w:pPr>
        <w:spacing w:line="360" w:lineRule="auto"/>
        <w:jc w:val="center"/>
        <w:rPr>
          <w:rFonts w:ascii="宋体" w:hAnsi="宋体" w:eastAsia="宋体" w:cs="宋体"/>
          <w:color w:val="000000"/>
          <w:szCs w:val="21"/>
        </w:rPr>
      </w:pPr>
      <w:r>
        <w:rPr>
          <w:rFonts w:hint="eastAsia" w:ascii="宋体" w:hAnsi="宋体" w:eastAsia="宋体" w:cs="宋体"/>
          <w:color w:val="000000"/>
          <w:sz w:val="28"/>
          <w:szCs w:val="28"/>
        </w:rPr>
        <w:drawing>
          <wp:inline distT="0" distB="0" distL="114300" distR="114300">
            <wp:extent cx="3919855" cy="5225415"/>
            <wp:effectExtent l="0" t="0" r="12065" b="1905"/>
            <wp:docPr id="81" name="图片 81" descr="webwxgetmsgim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webwxgetmsgimg (2)"/>
                    <pic:cNvPicPr>
                      <a:picLocks noChangeAspect="1"/>
                    </pic:cNvPicPr>
                  </pic:nvPicPr>
                  <pic:blipFill>
                    <a:blip r:embed="rId24"/>
                    <a:stretch>
                      <a:fillRect/>
                    </a:stretch>
                  </pic:blipFill>
                  <pic:spPr>
                    <a:xfrm>
                      <a:off x="0" y="0"/>
                      <a:ext cx="3919855" cy="5225415"/>
                    </a:xfrm>
                    <a:prstGeom prst="rect">
                      <a:avLst/>
                    </a:prstGeom>
                  </pic:spPr>
                </pic:pic>
              </a:graphicData>
            </a:graphic>
          </wp:inline>
        </w:drawing>
      </w:r>
    </w:p>
    <w:p>
      <w:pPr>
        <w:spacing w:line="360" w:lineRule="auto"/>
        <w:jc w:val="center"/>
        <w:rPr>
          <w:rFonts w:ascii="宋体" w:hAnsi="宋体" w:eastAsia="宋体" w:cs="宋体"/>
          <w:b/>
          <w:bCs/>
          <w:color w:val="000000"/>
          <w:szCs w:val="21"/>
        </w:rPr>
      </w:pPr>
      <w:r>
        <w:rPr>
          <w:rFonts w:hint="eastAsia" w:ascii="宋体" w:hAnsi="宋体" w:eastAsia="宋体" w:cs="宋体"/>
          <w:b/>
          <w:bCs/>
          <w:color w:val="000000"/>
          <w:szCs w:val="21"/>
        </w:rPr>
        <w:t>图5.1 化粪池分布图</w:t>
      </w:r>
    </w:p>
    <w:p>
      <w:pPr>
        <w:spacing w:line="360" w:lineRule="auto"/>
        <w:outlineLvl w:val="1"/>
        <w:rPr>
          <w:rFonts w:ascii="宋体" w:hAnsi="宋体" w:eastAsia="宋体" w:cs="宋体"/>
          <w:b/>
          <w:bCs/>
          <w:sz w:val="28"/>
          <w:szCs w:val="28"/>
        </w:rPr>
      </w:pPr>
      <w:bookmarkStart w:id="17" w:name="_Toc16708"/>
      <w:r>
        <w:rPr>
          <w:rFonts w:hint="eastAsia" w:ascii="宋体" w:hAnsi="宋体" w:eastAsia="宋体" w:cs="宋体"/>
          <w:b/>
          <w:bCs/>
          <w:sz w:val="28"/>
          <w:szCs w:val="28"/>
        </w:rPr>
        <w:t>5.3噪声污染防治措施</w:t>
      </w:r>
      <w:bookmarkEnd w:id="17"/>
    </w:p>
    <w:p>
      <w:pPr>
        <w:adjustRightInd w:val="0"/>
        <w:spacing w:line="360" w:lineRule="auto"/>
        <w:ind w:firstLine="422" w:firstLineChars="200"/>
        <w:jc w:val="center"/>
        <w:rPr>
          <w:rFonts w:ascii="宋体" w:hAnsi="宋体" w:eastAsia="宋体" w:cs="宋体"/>
          <w:b/>
          <w:bCs/>
          <w:color w:val="000000"/>
          <w:szCs w:val="21"/>
        </w:rPr>
      </w:pPr>
      <w:r>
        <w:rPr>
          <w:rFonts w:hint="eastAsia" w:ascii="宋体" w:hAnsi="宋体" w:eastAsia="宋体" w:cs="宋体"/>
          <w:b/>
          <w:bCs/>
          <w:color w:val="000000"/>
          <w:szCs w:val="21"/>
        </w:rPr>
        <w:t>表5-3   环评报告中提出的环保措施及落实情况</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3"/>
        <w:gridCol w:w="1020"/>
        <w:gridCol w:w="3336"/>
        <w:gridCol w:w="34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tcBorders>
              <w:top w:val="single" w:color="auto" w:sz="12" w:space="0"/>
              <w:left w:val="nil"/>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要素</w:t>
            </w:r>
          </w:p>
        </w:tc>
        <w:tc>
          <w:tcPr>
            <w:tcW w:w="1020" w:type="dxa"/>
            <w:tcBorders>
              <w:top w:val="single" w:color="auto" w:sz="12" w:space="0"/>
              <w:bottom w:val="single" w:color="auto" w:sz="12" w:space="0"/>
            </w:tcBorders>
            <w:vAlign w:val="center"/>
          </w:tcPr>
          <w:p>
            <w:pPr>
              <w:adjustRightInd w:val="0"/>
              <w:spacing w:line="360" w:lineRule="exact"/>
              <w:jc w:val="center"/>
              <w:rPr>
                <w:rFonts w:ascii="宋体" w:hAnsi="宋体" w:eastAsia="宋体" w:cs="宋体"/>
                <w:color w:val="000000"/>
                <w:szCs w:val="21"/>
              </w:rPr>
            </w:pPr>
          </w:p>
        </w:tc>
        <w:tc>
          <w:tcPr>
            <w:tcW w:w="3336" w:type="dxa"/>
            <w:tcBorders>
              <w:top w:val="single" w:color="auto" w:sz="12" w:space="0"/>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环评要求</w:t>
            </w:r>
          </w:p>
        </w:tc>
        <w:tc>
          <w:tcPr>
            <w:tcW w:w="3493" w:type="dxa"/>
            <w:tcBorders>
              <w:top w:val="single" w:color="auto" w:sz="12" w:space="0"/>
              <w:bottom w:val="single" w:color="auto" w:sz="12" w:space="0"/>
              <w:right w:val="nil"/>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vMerge w:val="restart"/>
            <w:tcBorders>
              <w:top w:val="single" w:color="auto" w:sz="12" w:space="0"/>
              <w:left w:val="nil"/>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声环境</w:t>
            </w:r>
          </w:p>
        </w:tc>
        <w:tc>
          <w:tcPr>
            <w:tcW w:w="1020" w:type="dxa"/>
            <w:tcBorders>
              <w:top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施工期</w:t>
            </w:r>
          </w:p>
        </w:tc>
        <w:tc>
          <w:tcPr>
            <w:tcW w:w="3336" w:type="dxa"/>
            <w:tcBorders>
              <w:top w:val="single" w:color="auto" w:sz="12" w:space="0"/>
            </w:tcBorders>
            <w:vAlign w:val="center"/>
          </w:tcPr>
          <w:p>
            <w:pPr>
              <w:spacing w:line="360" w:lineRule="exact"/>
              <w:rPr>
                <w:rFonts w:ascii="宋体" w:hAnsi="宋体" w:eastAsia="宋体" w:cs="宋体"/>
                <w:b/>
                <w:bCs/>
                <w:color w:val="000000" w:themeColor="text1"/>
                <w:szCs w:val="21"/>
              </w:rPr>
            </w:pPr>
            <w:r>
              <w:rPr>
                <w:rFonts w:hint="eastAsia" w:ascii="宋体" w:hAnsi="宋体" w:eastAsia="宋体" w:cs="宋体"/>
                <w:color w:val="000000" w:themeColor="text1"/>
                <w:szCs w:val="21"/>
              </w:rPr>
              <w:t>环评报告书未对施工期噪声提出防护要求。</w:t>
            </w:r>
          </w:p>
          <w:p>
            <w:pPr>
              <w:spacing w:line="360" w:lineRule="exact"/>
              <w:jc w:val="center"/>
              <w:rPr>
                <w:rFonts w:ascii="宋体" w:hAnsi="宋体" w:eastAsia="宋体" w:cs="宋体"/>
                <w:color w:val="000000"/>
                <w:szCs w:val="21"/>
              </w:rPr>
            </w:pPr>
          </w:p>
        </w:tc>
        <w:tc>
          <w:tcPr>
            <w:tcW w:w="3493" w:type="dxa"/>
            <w:tcBorders>
              <w:top w:val="single" w:color="auto" w:sz="12" w:space="0"/>
              <w:right w:val="nil"/>
            </w:tcBorders>
            <w:vAlign w:val="center"/>
          </w:tcPr>
          <w:p>
            <w:pPr>
              <w:spacing w:line="360" w:lineRule="exact"/>
              <w:rPr>
                <w:rFonts w:ascii="宋体" w:hAnsi="宋体" w:eastAsia="宋体" w:cs="宋体"/>
                <w:color w:val="000000"/>
                <w:szCs w:val="21"/>
              </w:rPr>
            </w:pPr>
            <w:r>
              <w:rPr>
                <w:rFonts w:hint="eastAsia" w:ascii="宋体" w:hAnsi="宋体" w:eastAsia="宋体" w:cs="宋体"/>
                <w:color w:val="000000" w:themeColor="text1"/>
                <w:szCs w:val="21"/>
              </w:rPr>
              <w:t>施工机械的声级值相对较低，一般场界外50m范围外噪声均可达标。项目施工均在昼间进行，施工区域200m范围内无村庄等声环境敏感点。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vMerge w:val="continue"/>
            <w:tcBorders>
              <w:left w:val="nil"/>
              <w:bottom w:val="single" w:color="auto" w:sz="12" w:space="0"/>
            </w:tcBorders>
            <w:vAlign w:val="center"/>
          </w:tcPr>
          <w:p>
            <w:pPr>
              <w:adjustRightInd w:val="0"/>
              <w:spacing w:line="360" w:lineRule="exact"/>
              <w:jc w:val="center"/>
              <w:rPr>
                <w:rFonts w:ascii="宋体" w:hAnsi="宋体" w:eastAsia="宋体" w:cs="宋体"/>
                <w:color w:val="000000"/>
                <w:szCs w:val="21"/>
              </w:rPr>
            </w:pPr>
          </w:p>
        </w:tc>
        <w:tc>
          <w:tcPr>
            <w:tcW w:w="1020" w:type="dxa"/>
            <w:tcBorders>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运营期</w:t>
            </w:r>
          </w:p>
        </w:tc>
        <w:tc>
          <w:tcPr>
            <w:tcW w:w="3336" w:type="dxa"/>
            <w:tcBorders>
              <w:bottom w:val="single" w:color="auto" w:sz="12" w:space="0"/>
            </w:tcBorders>
            <w:vAlign w:val="center"/>
          </w:tcPr>
          <w:p>
            <w:pPr>
              <w:pStyle w:val="2"/>
              <w:adjustRightInd w:val="0"/>
              <w:spacing w:line="360" w:lineRule="exact"/>
              <w:rPr>
                <w:rFonts w:ascii="宋体" w:hAnsi="宋体" w:eastAsia="宋体" w:cs="宋体"/>
                <w:color w:val="000000"/>
                <w:sz w:val="21"/>
                <w:szCs w:val="21"/>
              </w:rPr>
            </w:pPr>
            <w:r>
              <w:rPr>
                <w:rFonts w:hint="eastAsia" w:ascii="宋体" w:hAnsi="宋体" w:eastAsia="宋体" w:cs="宋体"/>
                <w:color w:val="000000" w:themeColor="text1"/>
                <w:sz w:val="21"/>
                <w:szCs w:val="21"/>
              </w:rPr>
              <w:t>环评报告未对本项目运营期间的</w:t>
            </w:r>
            <w:r>
              <w:rPr>
                <w:rFonts w:hint="eastAsia" w:ascii="宋体" w:hAnsi="宋体" w:eastAsia="宋体" w:cs="宋体"/>
                <w:color w:val="000000" w:themeColor="text1"/>
                <w:sz w:val="21"/>
                <w:szCs w:val="21"/>
                <w:lang w:val="zh-CN"/>
              </w:rPr>
              <w:t>噪声影响提出防治措施</w:t>
            </w:r>
            <w:r>
              <w:rPr>
                <w:rFonts w:hint="eastAsia" w:ascii="宋体" w:hAnsi="宋体" w:eastAsia="宋体" w:cs="宋体"/>
                <w:color w:val="000000" w:themeColor="text1"/>
                <w:sz w:val="21"/>
                <w:szCs w:val="21"/>
              </w:rPr>
              <w:t>。</w:t>
            </w:r>
          </w:p>
        </w:tc>
        <w:tc>
          <w:tcPr>
            <w:tcW w:w="3493" w:type="dxa"/>
            <w:tcBorders>
              <w:bottom w:val="single" w:color="auto" w:sz="12" w:space="0"/>
              <w:right w:val="nil"/>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运营期噪声源主要为锅炉房运行产生的噪声，影响较小。</w:t>
            </w:r>
          </w:p>
        </w:tc>
      </w:tr>
    </w:tbl>
    <w:p>
      <w:pPr>
        <w:pStyle w:val="2"/>
        <w:adjustRightInd w:val="0"/>
        <w:snapToGrid w:val="0"/>
        <w:spacing w:line="360" w:lineRule="auto"/>
        <w:ind w:firstLine="560" w:firstLineChars="200"/>
        <w:rPr>
          <w:rFonts w:ascii="宋体" w:hAnsi="宋体" w:eastAsia="宋体" w:cs="宋体"/>
          <w:color w:val="000000"/>
          <w:szCs w:val="28"/>
        </w:rPr>
      </w:pPr>
    </w:p>
    <w:p>
      <w:pPr>
        <w:pStyle w:val="2"/>
        <w:adjustRightInd w:val="0"/>
        <w:snapToGrid w:val="0"/>
        <w:spacing w:line="360" w:lineRule="auto"/>
        <w:ind w:firstLine="560" w:firstLineChars="200"/>
        <w:rPr>
          <w:rFonts w:ascii="宋体" w:hAnsi="宋体" w:eastAsia="宋体" w:cs="宋体"/>
          <w:color w:val="000000" w:themeColor="text1"/>
        </w:rPr>
      </w:pPr>
      <w:r>
        <w:rPr>
          <w:rFonts w:hint="eastAsia" w:ascii="宋体" w:hAnsi="宋体" w:eastAsia="宋体" w:cs="宋体"/>
          <w:color w:val="000000"/>
          <w:szCs w:val="28"/>
        </w:rPr>
        <w:t>本项目</w:t>
      </w:r>
      <w:r>
        <w:rPr>
          <w:rFonts w:hint="eastAsia" w:ascii="宋体" w:hAnsi="宋体" w:eastAsia="宋体" w:cs="宋体"/>
          <w:color w:val="000000"/>
          <w:szCs w:val="28"/>
          <w:lang w:val="zh-CN"/>
        </w:rPr>
        <w:t>噪声源主要为锅炉运行时产生的噪声</w:t>
      </w:r>
      <w:r>
        <w:rPr>
          <w:rFonts w:hint="eastAsia" w:ascii="宋体" w:hAnsi="宋体" w:eastAsia="宋体" w:cs="宋体"/>
          <w:color w:val="000000"/>
          <w:szCs w:val="28"/>
        </w:rPr>
        <w:t>。北锅炉房200m范围内无声环境敏感目标；南锅炉房距离产权式酒店较近，</w:t>
      </w:r>
      <w:r>
        <w:rPr>
          <w:rFonts w:hint="eastAsia" w:ascii="宋体" w:hAnsi="宋体" w:eastAsia="宋体" w:cs="宋体"/>
          <w:color w:val="000000" w:themeColor="text1"/>
          <w:szCs w:val="28"/>
        </w:rPr>
        <w:t>最近的1栋</w:t>
      </w:r>
      <w:r>
        <w:rPr>
          <w:rFonts w:hint="eastAsia" w:ascii="宋体" w:hAnsi="宋体" w:eastAsia="宋体" w:cs="宋体"/>
          <w:color w:val="000000"/>
          <w:szCs w:val="28"/>
        </w:rPr>
        <w:t>产权式酒店</w:t>
      </w:r>
      <w:r>
        <w:rPr>
          <w:rFonts w:hint="eastAsia" w:ascii="宋体" w:hAnsi="宋体" w:eastAsia="宋体" w:cs="宋体"/>
          <w:color w:val="000000" w:themeColor="text1"/>
          <w:szCs w:val="28"/>
        </w:rPr>
        <w:t>（编号A9）距离南锅炉房120m，根据噪声监测结果显示，锅炉房</w:t>
      </w:r>
      <w:r>
        <w:rPr>
          <w:rFonts w:hint="eastAsia" w:ascii="宋体" w:hAnsi="宋体" w:eastAsia="宋体" w:cs="宋体"/>
          <w:color w:val="000000" w:themeColor="text1"/>
        </w:rPr>
        <w:t>厂界噪声测点昼间最大监测值52.4dB（A），夜间最大监测值43.7dB（A）；</w:t>
      </w:r>
      <w:r>
        <w:rPr>
          <w:rFonts w:hint="eastAsia" w:ascii="宋体" w:hAnsi="宋体" w:eastAsia="宋体" w:cs="宋体"/>
          <w:color w:val="000000"/>
          <w:szCs w:val="28"/>
        </w:rPr>
        <w:t>产权式酒店</w:t>
      </w:r>
      <w:r>
        <w:rPr>
          <w:rFonts w:hint="eastAsia" w:ascii="宋体" w:hAnsi="宋体" w:eastAsia="宋体" w:cs="宋体"/>
          <w:color w:val="000000" w:themeColor="text1"/>
        </w:rPr>
        <w:t>昼间最大监测值51.3dB（A），夜间最大监测值40.3dB（A），均满足《工业企业厂界环境噪声排放标准》（GB12348-2008）2 类标准限值。</w:t>
      </w:r>
    </w:p>
    <w:p>
      <w:pPr>
        <w:spacing w:line="360" w:lineRule="auto"/>
        <w:outlineLvl w:val="1"/>
        <w:rPr>
          <w:rFonts w:ascii="宋体" w:hAnsi="宋体" w:eastAsia="宋体" w:cs="宋体"/>
          <w:b/>
          <w:bCs/>
          <w:sz w:val="28"/>
          <w:szCs w:val="28"/>
        </w:rPr>
      </w:pPr>
      <w:bookmarkStart w:id="18" w:name="_Toc24209"/>
      <w:r>
        <w:rPr>
          <w:rFonts w:hint="eastAsia" w:ascii="宋体" w:hAnsi="宋体" w:eastAsia="宋体" w:cs="宋体"/>
          <w:b/>
          <w:bCs/>
          <w:sz w:val="28"/>
          <w:szCs w:val="28"/>
        </w:rPr>
        <w:t>5.4固体废物处置措施</w:t>
      </w:r>
      <w:bookmarkEnd w:id="18"/>
    </w:p>
    <w:p>
      <w:pPr>
        <w:adjustRightInd w:val="0"/>
        <w:spacing w:line="360" w:lineRule="auto"/>
        <w:ind w:firstLine="422" w:firstLineChars="200"/>
        <w:jc w:val="center"/>
        <w:rPr>
          <w:rFonts w:ascii="宋体" w:hAnsi="宋体" w:eastAsia="宋体" w:cs="宋体"/>
          <w:b/>
          <w:bCs/>
          <w:color w:val="000000"/>
          <w:szCs w:val="21"/>
        </w:rPr>
      </w:pPr>
      <w:r>
        <w:rPr>
          <w:rFonts w:hint="eastAsia" w:ascii="宋体" w:hAnsi="宋体" w:eastAsia="宋体" w:cs="宋体"/>
          <w:b/>
          <w:bCs/>
          <w:color w:val="000000"/>
          <w:szCs w:val="21"/>
        </w:rPr>
        <w:t>表5-4   环评报告中提出的环保措施及落实情况</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3"/>
        <w:gridCol w:w="1020"/>
        <w:gridCol w:w="3336"/>
        <w:gridCol w:w="34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tcBorders>
              <w:top w:val="single" w:color="auto" w:sz="12" w:space="0"/>
              <w:left w:val="nil"/>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要素</w:t>
            </w:r>
          </w:p>
        </w:tc>
        <w:tc>
          <w:tcPr>
            <w:tcW w:w="1020" w:type="dxa"/>
            <w:tcBorders>
              <w:top w:val="single" w:color="auto" w:sz="12" w:space="0"/>
              <w:bottom w:val="single" w:color="auto" w:sz="12" w:space="0"/>
            </w:tcBorders>
            <w:vAlign w:val="center"/>
          </w:tcPr>
          <w:p>
            <w:pPr>
              <w:adjustRightInd w:val="0"/>
              <w:spacing w:line="360" w:lineRule="exact"/>
              <w:jc w:val="center"/>
              <w:rPr>
                <w:rFonts w:ascii="宋体" w:hAnsi="宋体" w:eastAsia="宋体" w:cs="宋体"/>
                <w:color w:val="000000"/>
                <w:szCs w:val="21"/>
              </w:rPr>
            </w:pPr>
          </w:p>
        </w:tc>
        <w:tc>
          <w:tcPr>
            <w:tcW w:w="3336" w:type="dxa"/>
            <w:tcBorders>
              <w:top w:val="single" w:color="auto" w:sz="12" w:space="0"/>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环评要求</w:t>
            </w:r>
          </w:p>
        </w:tc>
        <w:tc>
          <w:tcPr>
            <w:tcW w:w="3493" w:type="dxa"/>
            <w:tcBorders>
              <w:top w:val="single" w:color="auto" w:sz="12" w:space="0"/>
              <w:bottom w:val="single" w:color="auto" w:sz="12" w:space="0"/>
              <w:right w:val="nil"/>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vMerge w:val="restart"/>
            <w:tcBorders>
              <w:top w:val="single" w:color="auto" w:sz="12" w:space="0"/>
              <w:left w:val="nil"/>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固废</w:t>
            </w:r>
          </w:p>
        </w:tc>
        <w:tc>
          <w:tcPr>
            <w:tcW w:w="1020" w:type="dxa"/>
            <w:tcBorders>
              <w:top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施工期</w:t>
            </w:r>
          </w:p>
        </w:tc>
        <w:tc>
          <w:tcPr>
            <w:tcW w:w="3336" w:type="dxa"/>
            <w:tcBorders>
              <w:top w:val="single" w:color="auto" w:sz="12" w:space="0"/>
            </w:tcBorders>
            <w:vAlign w:val="center"/>
          </w:tcPr>
          <w:p>
            <w:pPr>
              <w:spacing w:line="360" w:lineRule="exact"/>
              <w:rPr>
                <w:rFonts w:ascii="宋体" w:hAnsi="宋体" w:eastAsia="宋体" w:cs="宋体"/>
                <w:color w:val="000000"/>
                <w:szCs w:val="21"/>
              </w:rPr>
            </w:pPr>
            <w:r>
              <w:rPr>
                <w:rFonts w:hint="eastAsia" w:ascii="宋体" w:hAnsi="宋体" w:eastAsia="宋体" w:cs="宋体"/>
                <w:color w:val="000000" w:themeColor="text1"/>
                <w:szCs w:val="21"/>
              </w:rPr>
              <w:t>妥善处置施工过程中产生的废弃土石以及施工人员生活垃圾，不得将废弃土石任意裸露弃置。</w:t>
            </w:r>
          </w:p>
        </w:tc>
        <w:tc>
          <w:tcPr>
            <w:tcW w:w="3493" w:type="dxa"/>
            <w:tcBorders>
              <w:top w:val="single" w:color="auto" w:sz="12" w:space="0"/>
              <w:right w:val="nil"/>
            </w:tcBorders>
            <w:vAlign w:val="center"/>
          </w:tcPr>
          <w:p>
            <w:pPr>
              <w:spacing w:line="360" w:lineRule="exact"/>
              <w:rPr>
                <w:rFonts w:ascii="宋体" w:hAnsi="宋体" w:eastAsia="宋体" w:cs="宋体"/>
                <w:color w:val="000000"/>
                <w:szCs w:val="21"/>
              </w:rPr>
            </w:pPr>
            <w:r>
              <w:rPr>
                <w:rFonts w:hint="eastAsia" w:ascii="宋体" w:hAnsi="宋体" w:eastAsia="宋体" w:cs="宋体"/>
                <w:color w:val="000000" w:themeColor="text1"/>
                <w:szCs w:val="21"/>
              </w:rPr>
              <w:t>施工期产生的建筑垃圾及施工人员的生活垃圾，集中堆放，统一收集后运至相关部门指定地点进行处理。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vMerge w:val="continue"/>
            <w:tcBorders>
              <w:left w:val="nil"/>
              <w:bottom w:val="single" w:color="auto" w:sz="12" w:space="0"/>
            </w:tcBorders>
            <w:vAlign w:val="center"/>
          </w:tcPr>
          <w:p>
            <w:pPr>
              <w:adjustRightInd w:val="0"/>
              <w:spacing w:line="360" w:lineRule="exact"/>
              <w:jc w:val="center"/>
              <w:rPr>
                <w:rFonts w:ascii="宋体" w:hAnsi="宋体" w:eastAsia="宋体" w:cs="宋体"/>
                <w:color w:val="000000"/>
                <w:szCs w:val="21"/>
              </w:rPr>
            </w:pPr>
          </w:p>
        </w:tc>
        <w:tc>
          <w:tcPr>
            <w:tcW w:w="1020" w:type="dxa"/>
            <w:tcBorders>
              <w:bottom w:val="single" w:color="auto" w:sz="12" w:space="0"/>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运营期</w:t>
            </w:r>
          </w:p>
        </w:tc>
        <w:tc>
          <w:tcPr>
            <w:tcW w:w="3336" w:type="dxa"/>
            <w:tcBorders>
              <w:bottom w:val="single" w:color="auto" w:sz="12" w:space="0"/>
            </w:tcBorders>
            <w:vAlign w:val="center"/>
          </w:tcPr>
          <w:p>
            <w:pPr>
              <w:adjustRightInd w:val="0"/>
              <w:spacing w:line="360" w:lineRule="exact"/>
              <w:rPr>
                <w:rFonts w:ascii="宋体" w:hAnsi="宋体" w:eastAsia="宋体" w:cs="宋体"/>
                <w:color w:val="000000"/>
                <w:szCs w:val="21"/>
              </w:rPr>
            </w:pPr>
            <w:r>
              <w:rPr>
                <w:rFonts w:hint="eastAsia" w:ascii="宋体" w:hAnsi="宋体" w:eastAsia="宋体" w:cs="宋体"/>
                <w:color w:val="000000" w:themeColor="text1"/>
                <w:szCs w:val="21"/>
                <w:lang w:val="zh-CN"/>
              </w:rPr>
              <w:t>生活垃圾袋装化分类处理，并及时送往垃圾转运站</w:t>
            </w:r>
            <w:r>
              <w:rPr>
                <w:rFonts w:hint="eastAsia" w:ascii="宋体" w:hAnsi="宋体" w:eastAsia="宋体" w:cs="宋体"/>
                <w:color w:val="000000" w:themeColor="text1"/>
                <w:szCs w:val="21"/>
              </w:rPr>
              <w:t>。</w:t>
            </w:r>
          </w:p>
        </w:tc>
        <w:tc>
          <w:tcPr>
            <w:tcW w:w="3493" w:type="dxa"/>
            <w:tcBorders>
              <w:bottom w:val="single" w:color="auto" w:sz="12" w:space="0"/>
              <w:right w:val="nil"/>
            </w:tcBorders>
            <w:vAlign w:val="center"/>
          </w:tcPr>
          <w:p>
            <w:pPr>
              <w:adjustRightInd w:val="0"/>
              <w:spacing w:line="360" w:lineRule="exact"/>
              <w:jc w:val="center"/>
              <w:rPr>
                <w:rFonts w:ascii="宋体" w:hAnsi="宋体" w:eastAsia="宋体" w:cs="宋体"/>
                <w:color w:val="000000"/>
                <w:szCs w:val="21"/>
              </w:rPr>
            </w:pPr>
            <w:r>
              <w:rPr>
                <w:rFonts w:hint="eastAsia" w:ascii="宋体" w:hAnsi="宋体" w:eastAsia="宋体" w:cs="宋体"/>
                <w:color w:val="000000"/>
                <w:szCs w:val="21"/>
              </w:rPr>
              <w:t>生活垃圾交由环卫部门处置；餐厨垃圾交有资质单位处置。</w:t>
            </w:r>
          </w:p>
        </w:tc>
      </w:tr>
    </w:tbl>
    <w:p>
      <w:pPr>
        <w:spacing w:line="360" w:lineRule="auto"/>
        <w:ind w:firstLine="560" w:firstLineChars="200"/>
        <w:jc w:val="left"/>
        <w:rPr>
          <w:rFonts w:ascii="宋体" w:hAnsi="宋体" w:eastAsia="宋体" w:cs="宋体"/>
          <w:color w:val="000000" w:themeColor="text1"/>
          <w:sz w:val="28"/>
          <w:szCs w:val="28"/>
        </w:rPr>
      </w:pPr>
      <w:r>
        <w:rPr>
          <w:rFonts w:hint="eastAsia" w:ascii="宋体" w:hAnsi="宋体" w:eastAsia="宋体" w:cs="宋体"/>
          <w:color w:val="000000"/>
          <w:sz w:val="28"/>
          <w:szCs w:val="28"/>
          <w:lang w:val="zh-CN"/>
        </w:rPr>
        <w:t>本项目运行期间产生的固体废物主要为生活垃圾</w:t>
      </w:r>
      <w:r>
        <w:rPr>
          <w:rFonts w:hint="eastAsia" w:ascii="宋体" w:hAnsi="宋体" w:eastAsia="宋体" w:cs="宋体"/>
          <w:color w:val="000000"/>
          <w:sz w:val="28"/>
          <w:szCs w:val="28"/>
        </w:rPr>
        <w:t>，定期收集后，交由新城区环卫部门统一处置</w:t>
      </w:r>
      <w:r>
        <w:rPr>
          <w:rFonts w:hint="eastAsia" w:ascii="宋体" w:hAnsi="宋体" w:eastAsia="宋体" w:cs="宋体"/>
          <w:color w:val="000000" w:themeColor="text1"/>
          <w:sz w:val="28"/>
          <w:szCs w:val="28"/>
        </w:rPr>
        <w:t>，</w:t>
      </w:r>
      <w:r>
        <w:rPr>
          <w:rFonts w:hint="eastAsia" w:ascii="宋体" w:hAnsi="宋体" w:eastAsia="宋体" w:cs="宋体"/>
          <w:color w:val="000000"/>
          <w:sz w:val="28"/>
          <w:szCs w:val="28"/>
        </w:rPr>
        <w:t>处置协议见附件5</w:t>
      </w:r>
      <w:r>
        <w:rPr>
          <w:rFonts w:hint="eastAsia" w:ascii="宋体" w:hAnsi="宋体" w:eastAsia="宋体" w:cs="宋体"/>
          <w:color w:val="000000" w:themeColor="text1"/>
          <w:sz w:val="28"/>
          <w:szCs w:val="28"/>
        </w:rPr>
        <w:t>。</w:t>
      </w:r>
    </w:p>
    <w:p>
      <w:pPr>
        <w:spacing w:line="360" w:lineRule="auto"/>
        <w:jc w:val="center"/>
        <w:rPr>
          <w:rFonts w:ascii="宋体" w:hAnsi="宋体" w:eastAsia="宋体" w:cs="宋体"/>
          <w:color w:val="000000" w:themeColor="text1"/>
          <w:sz w:val="28"/>
          <w:szCs w:val="28"/>
          <w:lang w:val="zh-CN"/>
        </w:rPr>
      </w:pPr>
      <w:r>
        <w:rPr>
          <w:rFonts w:hint="eastAsia" w:ascii="宋体" w:hAnsi="宋体" w:eastAsia="宋体" w:cs="宋体"/>
          <w:color w:val="000000" w:themeColor="text1"/>
          <w:sz w:val="28"/>
          <w:szCs w:val="28"/>
        </w:rPr>
        <w:drawing>
          <wp:inline distT="0" distB="0" distL="114300" distR="114300">
            <wp:extent cx="2391410" cy="3188970"/>
            <wp:effectExtent l="0" t="0" r="1270" b="11430"/>
            <wp:docPr id="50" name="图片 50" descr="webwxgetmsgim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webwxgetmsgimg (2)"/>
                    <pic:cNvPicPr>
                      <a:picLocks noChangeAspect="1"/>
                    </pic:cNvPicPr>
                  </pic:nvPicPr>
                  <pic:blipFill>
                    <a:blip r:embed="rId25"/>
                    <a:stretch>
                      <a:fillRect/>
                    </a:stretch>
                  </pic:blipFill>
                  <pic:spPr>
                    <a:xfrm>
                      <a:off x="0" y="0"/>
                      <a:ext cx="2391410" cy="3188970"/>
                    </a:xfrm>
                    <a:prstGeom prst="rect">
                      <a:avLst/>
                    </a:prstGeom>
                  </pic:spPr>
                </pic:pic>
              </a:graphicData>
            </a:graphic>
          </wp:inline>
        </w:drawing>
      </w:r>
    </w:p>
    <w:p>
      <w:pPr>
        <w:spacing w:line="360" w:lineRule="auto"/>
        <w:jc w:val="center"/>
        <w:rPr>
          <w:rFonts w:ascii="宋体" w:hAnsi="宋体" w:eastAsia="宋体" w:cs="宋体"/>
          <w:b/>
          <w:bCs/>
          <w:color w:val="000000" w:themeColor="text1"/>
          <w:szCs w:val="21"/>
          <w:lang w:val="zh-CN"/>
        </w:rPr>
      </w:pPr>
      <w:r>
        <w:rPr>
          <w:rFonts w:hint="eastAsia" w:ascii="宋体" w:hAnsi="宋体" w:eastAsia="宋体" w:cs="宋体"/>
          <w:b/>
          <w:bCs/>
          <w:color w:val="000000" w:themeColor="text1"/>
          <w:szCs w:val="21"/>
          <w:lang w:val="zh-CN"/>
        </w:rPr>
        <w:t>产权式酒店内设置的垃圾桶</w:t>
      </w:r>
    </w:p>
    <w:p>
      <w:pPr>
        <w:spacing w:line="360" w:lineRule="auto"/>
        <w:outlineLvl w:val="1"/>
        <w:rPr>
          <w:rFonts w:ascii="宋体" w:hAnsi="宋体" w:eastAsia="宋体" w:cs="宋体"/>
          <w:b/>
          <w:bCs/>
          <w:sz w:val="28"/>
          <w:szCs w:val="28"/>
        </w:rPr>
      </w:pPr>
      <w:bookmarkStart w:id="19" w:name="_Toc15743"/>
      <w:r>
        <w:rPr>
          <w:rFonts w:hint="eastAsia" w:ascii="宋体" w:hAnsi="宋体" w:eastAsia="宋体" w:cs="宋体"/>
          <w:b/>
          <w:bCs/>
          <w:sz w:val="28"/>
          <w:szCs w:val="28"/>
        </w:rPr>
        <w:t>5.5生态环境恢复情况</w:t>
      </w:r>
      <w:bookmarkEnd w:id="19"/>
    </w:p>
    <w:p>
      <w:pPr>
        <w:adjustRightInd w:val="0"/>
        <w:spacing w:line="360" w:lineRule="auto"/>
        <w:ind w:firstLine="422" w:firstLineChars="200"/>
        <w:jc w:val="center"/>
        <w:rPr>
          <w:rFonts w:ascii="宋体" w:hAnsi="宋体" w:eastAsia="宋体" w:cs="宋体"/>
          <w:b/>
          <w:bCs/>
          <w:color w:val="000000"/>
          <w:szCs w:val="21"/>
        </w:rPr>
      </w:pPr>
      <w:r>
        <w:rPr>
          <w:rFonts w:hint="eastAsia" w:ascii="宋体" w:hAnsi="宋体" w:eastAsia="宋体" w:cs="宋体"/>
          <w:b/>
          <w:bCs/>
          <w:color w:val="000000"/>
          <w:szCs w:val="21"/>
        </w:rPr>
        <w:t>表5-5   环评报告中提出的环保措施及落实情况</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3"/>
        <w:gridCol w:w="1020"/>
        <w:gridCol w:w="3144"/>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tcBorders>
              <w:top w:val="single" w:color="auto" w:sz="12" w:space="0"/>
              <w:left w:val="nil"/>
              <w:bottom w:val="single" w:color="auto" w:sz="12" w:space="0"/>
            </w:tcBorders>
            <w:vAlign w:val="center"/>
          </w:tcPr>
          <w:p>
            <w:pPr>
              <w:adjustRightInd w:val="0"/>
              <w:spacing w:line="320" w:lineRule="exact"/>
              <w:jc w:val="center"/>
              <w:rPr>
                <w:rFonts w:ascii="宋体" w:hAnsi="宋体" w:eastAsia="宋体" w:cs="宋体"/>
                <w:color w:val="000000"/>
                <w:szCs w:val="21"/>
              </w:rPr>
            </w:pPr>
            <w:r>
              <w:rPr>
                <w:rFonts w:hint="eastAsia" w:ascii="宋体" w:hAnsi="宋体" w:eastAsia="宋体" w:cs="宋体"/>
                <w:color w:val="000000"/>
                <w:szCs w:val="21"/>
              </w:rPr>
              <w:t>要素</w:t>
            </w:r>
          </w:p>
        </w:tc>
        <w:tc>
          <w:tcPr>
            <w:tcW w:w="1020" w:type="dxa"/>
            <w:tcBorders>
              <w:top w:val="single" w:color="auto" w:sz="12" w:space="0"/>
              <w:bottom w:val="single" w:color="auto" w:sz="12" w:space="0"/>
            </w:tcBorders>
            <w:vAlign w:val="center"/>
          </w:tcPr>
          <w:p>
            <w:pPr>
              <w:adjustRightInd w:val="0"/>
              <w:spacing w:line="320" w:lineRule="exact"/>
              <w:jc w:val="center"/>
              <w:rPr>
                <w:rFonts w:ascii="宋体" w:hAnsi="宋体" w:eastAsia="宋体" w:cs="宋体"/>
                <w:color w:val="000000"/>
                <w:szCs w:val="21"/>
              </w:rPr>
            </w:pPr>
          </w:p>
        </w:tc>
        <w:tc>
          <w:tcPr>
            <w:tcW w:w="3144" w:type="dxa"/>
            <w:tcBorders>
              <w:top w:val="single" w:color="auto" w:sz="12" w:space="0"/>
              <w:bottom w:val="single" w:color="auto" w:sz="12" w:space="0"/>
            </w:tcBorders>
            <w:vAlign w:val="center"/>
          </w:tcPr>
          <w:p>
            <w:pPr>
              <w:adjustRightInd w:val="0"/>
              <w:spacing w:line="320" w:lineRule="exact"/>
              <w:jc w:val="center"/>
              <w:rPr>
                <w:rFonts w:ascii="宋体" w:hAnsi="宋体" w:eastAsia="宋体" w:cs="宋体"/>
                <w:color w:val="000000"/>
                <w:szCs w:val="21"/>
              </w:rPr>
            </w:pPr>
            <w:r>
              <w:rPr>
                <w:rFonts w:hint="eastAsia" w:ascii="宋体" w:hAnsi="宋体" w:eastAsia="宋体" w:cs="宋体"/>
                <w:color w:val="000000"/>
                <w:szCs w:val="21"/>
              </w:rPr>
              <w:t>环评要求</w:t>
            </w:r>
          </w:p>
        </w:tc>
        <w:tc>
          <w:tcPr>
            <w:tcW w:w="3685" w:type="dxa"/>
            <w:tcBorders>
              <w:top w:val="single" w:color="auto" w:sz="12" w:space="0"/>
              <w:bottom w:val="single" w:color="auto" w:sz="12" w:space="0"/>
              <w:right w:val="nil"/>
            </w:tcBorders>
            <w:vAlign w:val="center"/>
          </w:tcPr>
          <w:p>
            <w:pPr>
              <w:adjustRightInd w:val="0"/>
              <w:spacing w:line="320" w:lineRule="exact"/>
              <w:jc w:val="center"/>
              <w:rPr>
                <w:rFonts w:ascii="宋体" w:hAnsi="宋体" w:eastAsia="宋体" w:cs="宋体"/>
                <w:color w:val="000000"/>
                <w:szCs w:val="21"/>
              </w:rPr>
            </w:pPr>
            <w:r>
              <w:rPr>
                <w:rFonts w:hint="eastAsia" w:ascii="宋体" w:hAnsi="宋体" w:eastAsia="宋体" w:cs="宋体"/>
                <w:color w:val="000000"/>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vMerge w:val="restart"/>
            <w:tcBorders>
              <w:top w:val="single" w:color="auto" w:sz="12" w:space="0"/>
              <w:left w:val="nil"/>
            </w:tcBorders>
            <w:vAlign w:val="center"/>
          </w:tcPr>
          <w:p>
            <w:pPr>
              <w:adjustRightInd w:val="0"/>
              <w:spacing w:line="320" w:lineRule="exact"/>
              <w:jc w:val="center"/>
              <w:rPr>
                <w:rFonts w:ascii="宋体" w:hAnsi="宋体" w:eastAsia="宋体" w:cs="宋体"/>
                <w:color w:val="000000"/>
                <w:szCs w:val="21"/>
              </w:rPr>
            </w:pPr>
            <w:r>
              <w:rPr>
                <w:rFonts w:hint="eastAsia" w:ascii="宋体" w:hAnsi="宋体" w:eastAsia="宋体" w:cs="宋体"/>
                <w:color w:val="000000"/>
                <w:szCs w:val="21"/>
              </w:rPr>
              <w:t>固废</w:t>
            </w:r>
          </w:p>
        </w:tc>
        <w:tc>
          <w:tcPr>
            <w:tcW w:w="1020" w:type="dxa"/>
            <w:tcBorders>
              <w:top w:val="single" w:color="auto" w:sz="12" w:space="0"/>
            </w:tcBorders>
            <w:vAlign w:val="center"/>
          </w:tcPr>
          <w:p>
            <w:pPr>
              <w:adjustRightInd w:val="0"/>
              <w:spacing w:line="320" w:lineRule="exact"/>
              <w:jc w:val="center"/>
              <w:rPr>
                <w:rFonts w:ascii="宋体" w:hAnsi="宋体" w:eastAsia="宋体" w:cs="宋体"/>
                <w:color w:val="000000"/>
                <w:szCs w:val="21"/>
              </w:rPr>
            </w:pPr>
            <w:r>
              <w:rPr>
                <w:rFonts w:hint="eastAsia" w:ascii="宋体" w:hAnsi="宋体" w:eastAsia="宋体" w:cs="宋体"/>
                <w:color w:val="000000"/>
                <w:szCs w:val="21"/>
              </w:rPr>
              <w:t>施工期</w:t>
            </w:r>
          </w:p>
        </w:tc>
        <w:tc>
          <w:tcPr>
            <w:tcW w:w="3144" w:type="dxa"/>
            <w:tcBorders>
              <w:top w:val="single" w:color="auto" w:sz="12" w:space="0"/>
            </w:tcBorders>
            <w:vAlign w:val="center"/>
          </w:tcPr>
          <w:p>
            <w:pPr>
              <w:spacing w:line="320" w:lineRule="exact"/>
              <w:rPr>
                <w:rFonts w:ascii="宋体" w:hAnsi="宋体" w:eastAsia="宋体" w:cs="宋体"/>
                <w:szCs w:val="21"/>
              </w:rPr>
            </w:pPr>
            <w:r>
              <w:rPr>
                <w:rFonts w:hint="eastAsia" w:ascii="宋体" w:hAnsi="宋体" w:eastAsia="宋体" w:cs="宋体"/>
                <w:szCs w:val="21"/>
              </w:rPr>
              <w:t>1、结合当地政府部门制定的生态环境建设和水土保持规划，协助当地政府搞好周围的生态环境建设工作。</w:t>
            </w:r>
          </w:p>
          <w:p>
            <w:pPr>
              <w:spacing w:line="320" w:lineRule="exact"/>
              <w:rPr>
                <w:rFonts w:ascii="宋体" w:hAnsi="宋体" w:eastAsia="宋体" w:cs="宋体"/>
                <w:color w:val="000000" w:themeColor="text1"/>
                <w:szCs w:val="21"/>
              </w:rPr>
            </w:pPr>
            <w:r>
              <w:rPr>
                <w:rFonts w:hint="eastAsia" w:ascii="宋体" w:hAnsi="宋体" w:eastAsia="宋体" w:cs="宋体"/>
                <w:szCs w:val="21"/>
              </w:rPr>
              <w:t>2、加强管理，制定并落实生态影响保护与恢复的监督管理措施。制定对项目进行的生态监测计划</w:t>
            </w:r>
            <w:r>
              <w:rPr>
                <w:rFonts w:hint="eastAsia" w:ascii="宋体" w:hAnsi="宋体" w:eastAsia="宋体" w:cs="宋体"/>
                <w:color w:val="000000" w:themeColor="text1"/>
                <w:szCs w:val="21"/>
              </w:rPr>
              <w:t>。</w:t>
            </w:r>
          </w:p>
          <w:p>
            <w:pPr>
              <w:spacing w:line="320" w:lineRule="exact"/>
              <w:rPr>
                <w:rFonts w:ascii="宋体" w:hAnsi="宋体" w:eastAsia="宋体" w:cs="宋体"/>
                <w:color w:val="000000" w:themeColor="text1"/>
                <w:szCs w:val="21"/>
              </w:rPr>
            </w:pPr>
            <w:r>
              <w:rPr>
                <w:rFonts w:hint="eastAsia" w:ascii="宋体" w:hAnsi="宋体" w:eastAsia="宋体" w:cs="宋体"/>
                <w:color w:val="000000" w:themeColor="text1"/>
                <w:szCs w:val="21"/>
              </w:rPr>
              <w:t>3、</w:t>
            </w:r>
            <w:r>
              <w:rPr>
                <w:rFonts w:hint="eastAsia" w:ascii="宋体" w:hAnsi="宋体" w:eastAsia="宋体" w:cs="宋体"/>
                <w:szCs w:val="21"/>
              </w:rPr>
              <w:t>施工期应避免在春季大风季节及夏季暴雨时节进行作业，施工中尽可能缩短施工时间，提高工程施工效率，尽量减少自然植被的破坏，减少裸地面积。</w:t>
            </w:r>
          </w:p>
        </w:tc>
        <w:tc>
          <w:tcPr>
            <w:tcW w:w="3685" w:type="dxa"/>
            <w:tcBorders>
              <w:top w:val="single" w:color="auto" w:sz="12" w:space="0"/>
              <w:right w:val="nil"/>
            </w:tcBorders>
            <w:vAlign w:val="center"/>
          </w:tcPr>
          <w:p>
            <w:pPr>
              <w:spacing w:line="320" w:lineRule="exact"/>
              <w:rPr>
                <w:rFonts w:ascii="宋体" w:hAnsi="宋体" w:eastAsia="宋体" w:cs="宋体"/>
                <w:szCs w:val="21"/>
              </w:rPr>
            </w:pPr>
            <w:r>
              <w:rPr>
                <w:rFonts w:hint="eastAsia" w:ascii="宋体" w:hAnsi="宋体" w:eastAsia="宋体" w:cs="宋体"/>
                <w:szCs w:val="21"/>
              </w:rPr>
              <w:t>1、根据施工单位的资料记载，本项目施工期间严格控制施工作业带范围，无越界施工、乱砍乱伐现象；</w:t>
            </w:r>
          </w:p>
          <w:p>
            <w:pPr>
              <w:spacing w:line="320" w:lineRule="exact"/>
              <w:rPr>
                <w:rFonts w:ascii="宋体" w:hAnsi="宋体" w:eastAsia="宋体" w:cs="宋体"/>
                <w:szCs w:val="21"/>
              </w:rPr>
            </w:pPr>
            <w:r>
              <w:rPr>
                <w:rFonts w:hint="eastAsia" w:ascii="宋体" w:hAnsi="宋体" w:eastAsia="宋体" w:cs="宋体"/>
                <w:szCs w:val="21"/>
              </w:rPr>
              <w:t>2、建设单位已落实生态恢复措施，未开展生态环境监测计划。</w:t>
            </w:r>
          </w:p>
          <w:p>
            <w:pPr>
              <w:spacing w:line="320" w:lineRule="exact"/>
              <w:rPr>
                <w:rFonts w:ascii="宋体" w:hAnsi="宋体" w:eastAsia="宋体" w:cs="宋体"/>
                <w:szCs w:val="21"/>
              </w:rPr>
            </w:pPr>
            <w:r>
              <w:rPr>
                <w:rFonts w:hint="eastAsia" w:ascii="宋体" w:hAnsi="宋体" w:eastAsia="宋体" w:cs="宋体"/>
                <w:szCs w:val="21"/>
              </w:rPr>
              <w:t>3、施工作业时间避开大风季节及暴雨天气，由于项目所处地理位置特殊，各类手续较繁琐，本项目施工时间较长，进度较缓，项目在施工期间采取边施工边恢复的的方法，防止加剧水土流失。</w:t>
            </w:r>
          </w:p>
          <w:p>
            <w:pPr>
              <w:spacing w:line="320" w:lineRule="exact"/>
              <w:rPr>
                <w:rFonts w:ascii="宋体" w:hAnsi="宋体" w:eastAsia="宋体" w:cs="宋体"/>
                <w:color w:val="000000"/>
                <w:szCs w:val="21"/>
              </w:rPr>
            </w:pPr>
            <w:r>
              <w:rPr>
                <w:rFonts w:hint="eastAsia" w:ascii="宋体" w:hAnsi="宋体" w:eastAsia="宋体" w:cs="宋体"/>
                <w:szCs w:val="21"/>
              </w:rPr>
              <w:t>施工期间废弃的土石方及建筑材料及时收集后，交由至环卫部门统一处置。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3" w:type="dxa"/>
            <w:vMerge w:val="continue"/>
            <w:tcBorders>
              <w:left w:val="nil"/>
              <w:bottom w:val="single" w:color="auto" w:sz="12" w:space="0"/>
            </w:tcBorders>
            <w:vAlign w:val="center"/>
          </w:tcPr>
          <w:p>
            <w:pPr>
              <w:adjustRightInd w:val="0"/>
              <w:spacing w:line="320" w:lineRule="exact"/>
              <w:jc w:val="center"/>
              <w:rPr>
                <w:rFonts w:ascii="宋体" w:hAnsi="宋体" w:eastAsia="宋体" w:cs="宋体"/>
                <w:color w:val="000000"/>
                <w:szCs w:val="21"/>
              </w:rPr>
            </w:pPr>
          </w:p>
        </w:tc>
        <w:tc>
          <w:tcPr>
            <w:tcW w:w="1020" w:type="dxa"/>
            <w:tcBorders>
              <w:bottom w:val="single" w:color="auto" w:sz="12" w:space="0"/>
            </w:tcBorders>
            <w:vAlign w:val="center"/>
          </w:tcPr>
          <w:p>
            <w:pPr>
              <w:adjustRightInd w:val="0"/>
              <w:spacing w:line="320" w:lineRule="exact"/>
              <w:jc w:val="center"/>
              <w:rPr>
                <w:rFonts w:ascii="宋体" w:hAnsi="宋体" w:eastAsia="宋体" w:cs="宋体"/>
                <w:color w:val="000000"/>
                <w:szCs w:val="21"/>
              </w:rPr>
            </w:pPr>
            <w:r>
              <w:rPr>
                <w:rFonts w:hint="eastAsia" w:ascii="宋体" w:hAnsi="宋体" w:eastAsia="宋体" w:cs="宋体"/>
                <w:color w:val="000000"/>
                <w:szCs w:val="21"/>
              </w:rPr>
              <w:t>运营期</w:t>
            </w:r>
          </w:p>
        </w:tc>
        <w:tc>
          <w:tcPr>
            <w:tcW w:w="3144" w:type="dxa"/>
            <w:tcBorders>
              <w:bottom w:val="single" w:color="auto" w:sz="12" w:space="0"/>
            </w:tcBorders>
            <w:vAlign w:val="center"/>
          </w:tcPr>
          <w:p>
            <w:pPr>
              <w:spacing w:line="320" w:lineRule="exact"/>
              <w:rPr>
                <w:rFonts w:ascii="宋体" w:hAnsi="宋体" w:eastAsia="宋体" w:cs="宋体"/>
                <w:color w:val="000000"/>
                <w:szCs w:val="21"/>
              </w:rPr>
            </w:pPr>
            <w:r>
              <w:rPr>
                <w:rFonts w:hint="eastAsia" w:ascii="宋体" w:hAnsi="宋体" w:eastAsia="宋体" w:cs="宋体"/>
                <w:color w:val="000000" w:themeColor="text1"/>
                <w:szCs w:val="21"/>
              </w:rPr>
              <w:t>要求进行绿化，绿化面积不低于10%。选择抗逆物种，即当地易活、速生和便于管理的树种。</w:t>
            </w:r>
          </w:p>
        </w:tc>
        <w:tc>
          <w:tcPr>
            <w:tcW w:w="3685" w:type="dxa"/>
            <w:tcBorders>
              <w:bottom w:val="single" w:color="auto" w:sz="12" w:space="0"/>
              <w:right w:val="nil"/>
            </w:tcBorders>
            <w:vAlign w:val="center"/>
          </w:tcPr>
          <w:p>
            <w:pPr>
              <w:spacing w:line="320" w:lineRule="exact"/>
              <w:jc w:val="left"/>
              <w:rPr>
                <w:rFonts w:ascii="宋体" w:hAnsi="宋体" w:eastAsia="宋体" w:cs="宋体"/>
                <w:color w:val="000000"/>
                <w:szCs w:val="21"/>
              </w:rPr>
            </w:pPr>
            <w:r>
              <w:rPr>
                <w:rFonts w:hint="eastAsia" w:ascii="宋体" w:hAnsi="宋体" w:eastAsia="宋体" w:cs="宋体"/>
                <w:color w:val="000000" w:themeColor="text1"/>
                <w:szCs w:val="21"/>
              </w:rPr>
              <w:t>建设单位对产权式酒店内进行了绿化及景观设计，绿化面积共计33140m</w:t>
            </w:r>
            <w:r>
              <w:rPr>
                <w:rFonts w:hint="eastAsia" w:ascii="宋体" w:hAnsi="宋体" w:eastAsia="宋体" w:cs="宋体"/>
                <w:color w:val="000000" w:themeColor="text1"/>
                <w:szCs w:val="21"/>
                <w:vertAlign w:val="superscript"/>
              </w:rPr>
              <w:t>2</w:t>
            </w:r>
            <w:r>
              <w:rPr>
                <w:rFonts w:hint="eastAsia" w:ascii="宋体" w:hAnsi="宋体" w:eastAsia="宋体" w:cs="宋体"/>
                <w:color w:val="000000" w:themeColor="text1"/>
                <w:szCs w:val="21"/>
              </w:rPr>
              <w:t>，绿化率达到58%。</w:t>
            </w:r>
          </w:p>
        </w:tc>
      </w:tr>
    </w:tbl>
    <w:p>
      <w:pPr>
        <w:spacing w:line="360" w:lineRule="auto"/>
        <w:ind w:left="-2" w:leftChars="-1" w:firstLine="480" w:firstLineChars="200"/>
        <w:rPr>
          <w:rFonts w:ascii="宋体" w:hAnsi="宋体" w:eastAsia="宋体" w:cs="宋体"/>
          <w:color w:val="000000" w:themeColor="text1"/>
          <w:sz w:val="24"/>
        </w:rPr>
      </w:pPr>
    </w:p>
    <w:p>
      <w:pPr>
        <w:spacing w:line="360" w:lineRule="auto"/>
        <w:ind w:left="-2" w:leftChars="-1" w:firstLine="560" w:firstLineChars="20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建设单位对</w:t>
      </w:r>
      <w:r>
        <w:rPr>
          <w:rFonts w:hint="eastAsia" w:ascii="宋体" w:hAnsi="宋体" w:eastAsia="宋体" w:cs="宋体"/>
          <w:color w:val="000000"/>
          <w:sz w:val="28"/>
          <w:szCs w:val="28"/>
        </w:rPr>
        <w:t>产权式一期酒店</w:t>
      </w:r>
      <w:r>
        <w:rPr>
          <w:rFonts w:hint="eastAsia" w:ascii="宋体" w:hAnsi="宋体" w:eastAsia="宋体" w:cs="宋体"/>
          <w:color w:val="000000" w:themeColor="text1"/>
          <w:sz w:val="28"/>
          <w:szCs w:val="28"/>
        </w:rPr>
        <w:t>内进行了绿化及景观设计，</w:t>
      </w:r>
      <w:r>
        <w:rPr>
          <w:rFonts w:hint="eastAsia" w:ascii="宋体" w:hAnsi="宋体" w:eastAsia="宋体" w:cs="宋体"/>
          <w:color w:val="000000"/>
          <w:sz w:val="28"/>
          <w:szCs w:val="28"/>
        </w:rPr>
        <w:t>产权式一期酒店</w:t>
      </w:r>
      <w:r>
        <w:rPr>
          <w:rFonts w:hint="eastAsia" w:ascii="宋体" w:hAnsi="宋体" w:eastAsia="宋体" w:cs="宋体"/>
          <w:color w:val="000000" w:themeColor="text1"/>
          <w:sz w:val="28"/>
          <w:szCs w:val="28"/>
        </w:rPr>
        <w:t>占地面积57125.4m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，绿化面积共计33140m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，绿化率达到58%。绿化的植被种类包括国槐、白蜡、垂柳、丛生蒙古栎、榆叶梅、丁香、水蜡、侧柏、樟子松、桧柏、金山绣线菊、卫矛、大花萱草等40余种，植株110万株。</w:t>
      </w:r>
    </w:p>
    <w:p>
      <w:pPr>
        <w:widowControl/>
        <w:jc w:val="left"/>
      </w:pPr>
      <w:r>
        <w:rPr>
          <w:rFonts w:ascii="宋体" w:hAnsi="宋体" w:eastAsia="宋体" w:cs="宋体"/>
          <w:kern w:val="0"/>
          <w:sz w:val="24"/>
        </w:rPr>
        <w:drawing>
          <wp:inline distT="0" distB="0" distL="114300" distR="114300">
            <wp:extent cx="2546985" cy="1837055"/>
            <wp:effectExtent l="0" t="0" r="13335" b="6985"/>
            <wp:docPr id="1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IMG_256"/>
                    <pic:cNvPicPr>
                      <a:picLocks noChangeAspect="1"/>
                    </pic:cNvPicPr>
                  </pic:nvPicPr>
                  <pic:blipFill>
                    <a:blip r:embed="rId26"/>
                    <a:stretch>
                      <a:fillRect/>
                    </a:stretch>
                  </pic:blipFill>
                  <pic:spPr>
                    <a:xfrm>
                      <a:off x="0" y="0"/>
                      <a:ext cx="2546985" cy="1837055"/>
                    </a:xfrm>
                    <a:prstGeom prst="rect">
                      <a:avLst/>
                    </a:prstGeom>
                    <a:noFill/>
                    <a:ln w="9525">
                      <a:noFill/>
                    </a:ln>
                  </pic:spPr>
                </pic:pic>
              </a:graphicData>
            </a:graphic>
          </wp:inline>
        </w:drawing>
      </w:r>
      <w:r>
        <w:rPr>
          <w:rFonts w:ascii="宋体" w:hAnsi="宋体" w:eastAsia="宋体" w:cs="宋体"/>
          <w:kern w:val="0"/>
          <w:sz w:val="24"/>
        </w:rPr>
        <w:drawing>
          <wp:inline distT="0" distB="0" distL="114300" distR="114300">
            <wp:extent cx="2511425" cy="1821815"/>
            <wp:effectExtent l="0" t="0" r="3175" b="6985"/>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27"/>
                    <a:stretch>
                      <a:fillRect/>
                    </a:stretch>
                  </pic:blipFill>
                  <pic:spPr>
                    <a:xfrm>
                      <a:off x="0" y="0"/>
                      <a:ext cx="2511425" cy="1821815"/>
                    </a:xfrm>
                    <a:prstGeom prst="rect">
                      <a:avLst/>
                    </a:prstGeom>
                    <a:noFill/>
                    <a:ln w="9525">
                      <a:noFill/>
                    </a:ln>
                  </pic:spPr>
                </pic:pic>
              </a:graphicData>
            </a:graphic>
          </wp:inline>
        </w:drawing>
      </w:r>
    </w:p>
    <w:p>
      <w:pPr>
        <w:widowControl/>
        <w:jc w:val="center"/>
        <w:rPr>
          <w:b/>
          <w:bCs/>
        </w:rPr>
      </w:pPr>
      <w:r>
        <w:rPr>
          <w:rFonts w:hint="eastAsia"/>
          <w:b/>
          <w:bCs/>
        </w:rPr>
        <w:t>产权式酒店施工前原始地貌</w:t>
      </w:r>
    </w:p>
    <w:p>
      <w:pPr>
        <w:spacing w:line="360" w:lineRule="auto"/>
        <w:jc w:val="left"/>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drawing>
          <wp:inline distT="0" distB="0" distL="114300" distR="114300">
            <wp:extent cx="2604135" cy="1432560"/>
            <wp:effectExtent l="0" t="0" r="1905" b="0"/>
            <wp:docPr id="36" name="图片 36" descr="全景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全景图5"/>
                    <pic:cNvPicPr>
                      <a:picLocks noChangeAspect="1"/>
                    </pic:cNvPicPr>
                  </pic:nvPicPr>
                  <pic:blipFill>
                    <a:blip r:embed="rId28"/>
                    <a:stretch>
                      <a:fillRect/>
                    </a:stretch>
                  </pic:blipFill>
                  <pic:spPr>
                    <a:xfrm>
                      <a:off x="0" y="0"/>
                      <a:ext cx="2604135" cy="1432560"/>
                    </a:xfrm>
                    <a:prstGeom prst="rect">
                      <a:avLst/>
                    </a:prstGeom>
                  </pic:spPr>
                </pic:pic>
              </a:graphicData>
            </a:graphic>
          </wp:inline>
        </w:drawing>
      </w:r>
      <w:r>
        <w:rPr>
          <w:rFonts w:hint="eastAsia" w:ascii="宋体" w:hAnsi="宋体" w:eastAsia="宋体" w:cs="宋体"/>
          <w:color w:val="000000" w:themeColor="text1"/>
          <w:sz w:val="28"/>
          <w:szCs w:val="28"/>
        </w:rPr>
        <w:drawing>
          <wp:inline distT="0" distB="0" distL="114300" distR="114300">
            <wp:extent cx="2456815" cy="1382395"/>
            <wp:effectExtent l="0" t="0" r="12065" b="4445"/>
            <wp:docPr id="37" name="图片 37" descr="暴风截图201510194928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暴风截图201510194928913"/>
                    <pic:cNvPicPr>
                      <a:picLocks noChangeAspect="1"/>
                    </pic:cNvPicPr>
                  </pic:nvPicPr>
                  <pic:blipFill>
                    <a:blip r:embed="rId29"/>
                    <a:stretch>
                      <a:fillRect/>
                    </a:stretch>
                  </pic:blipFill>
                  <pic:spPr>
                    <a:xfrm>
                      <a:off x="0" y="0"/>
                      <a:ext cx="2456815" cy="1382395"/>
                    </a:xfrm>
                    <a:prstGeom prst="rect">
                      <a:avLst/>
                    </a:prstGeom>
                  </pic:spPr>
                </pic:pic>
              </a:graphicData>
            </a:graphic>
          </wp:inline>
        </w:drawing>
      </w:r>
    </w:p>
    <w:p>
      <w:pPr>
        <w:spacing w:line="360" w:lineRule="auto"/>
        <w:ind w:firstLine="1265" w:firstLineChars="600"/>
        <w:rPr>
          <w:rFonts w:ascii="宋体" w:hAnsi="宋体" w:eastAsia="宋体" w:cs="宋体"/>
          <w:color w:val="000000" w:themeColor="text1"/>
          <w:sz w:val="28"/>
          <w:szCs w:val="28"/>
        </w:rPr>
      </w:pPr>
      <w:r>
        <w:rPr>
          <w:rFonts w:hint="eastAsia"/>
          <w:b/>
          <w:bCs/>
        </w:rPr>
        <w:t>产权式酒店</w:t>
      </w:r>
      <w:r>
        <w:rPr>
          <w:rFonts w:hint="eastAsia" w:ascii="宋体" w:hAnsi="宋体" w:eastAsia="宋体" w:cs="宋体"/>
          <w:b/>
          <w:bCs/>
          <w:color w:val="000000" w:themeColor="text1"/>
          <w:szCs w:val="21"/>
        </w:rPr>
        <w:t xml:space="preserve">施工期全景                    </w:t>
      </w:r>
      <w:r>
        <w:rPr>
          <w:rFonts w:hint="eastAsia"/>
          <w:b/>
          <w:bCs/>
        </w:rPr>
        <w:t>产权式酒店</w:t>
      </w:r>
      <w:r>
        <w:rPr>
          <w:rFonts w:hint="eastAsia" w:ascii="宋体" w:hAnsi="宋体" w:eastAsia="宋体" w:cs="宋体"/>
          <w:b/>
          <w:bCs/>
          <w:color w:val="000000" w:themeColor="text1"/>
          <w:szCs w:val="21"/>
        </w:rPr>
        <w:t xml:space="preserve">现状全景 </w:t>
      </w:r>
    </w:p>
    <w:p>
      <w:pPr>
        <w:spacing w:line="360" w:lineRule="auto"/>
        <w:jc w:val="left"/>
        <w:rPr>
          <w:rFonts w:ascii="宋体" w:hAnsi="宋体" w:eastAsia="宋体" w:cs="宋体"/>
          <w:b/>
          <w:bCs/>
          <w:color w:val="FF0000"/>
          <w:sz w:val="28"/>
          <w:szCs w:val="28"/>
        </w:rPr>
      </w:pPr>
      <w:r>
        <w:rPr>
          <w:rFonts w:hint="eastAsia" w:ascii="宋体" w:hAnsi="宋体" w:eastAsia="宋体" w:cs="宋体"/>
          <w:b/>
          <w:bCs/>
          <w:color w:val="FF0000"/>
          <w:sz w:val="28"/>
          <w:szCs w:val="28"/>
        </w:rPr>
        <w:drawing>
          <wp:inline distT="0" distB="0" distL="114300" distR="114300">
            <wp:extent cx="2505710" cy="1879600"/>
            <wp:effectExtent l="0" t="0" r="8890" b="10160"/>
            <wp:docPr id="53" name="图片 53" descr="webwxgetmsgim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webwxgetmsgimg (4)"/>
                    <pic:cNvPicPr>
                      <a:picLocks noChangeAspect="1"/>
                    </pic:cNvPicPr>
                  </pic:nvPicPr>
                  <pic:blipFill>
                    <a:blip r:embed="rId30"/>
                    <a:stretch>
                      <a:fillRect/>
                    </a:stretch>
                  </pic:blipFill>
                  <pic:spPr>
                    <a:xfrm>
                      <a:off x="0" y="0"/>
                      <a:ext cx="2505710" cy="1879600"/>
                    </a:xfrm>
                    <a:prstGeom prst="rect">
                      <a:avLst/>
                    </a:prstGeom>
                  </pic:spPr>
                </pic:pic>
              </a:graphicData>
            </a:graphic>
          </wp:inline>
        </w:drawing>
      </w:r>
      <w:r>
        <w:rPr>
          <w:rFonts w:hint="eastAsia" w:ascii="宋体" w:hAnsi="宋体" w:eastAsia="宋体" w:cs="宋体"/>
          <w:b/>
          <w:bCs/>
          <w:color w:val="FF0000"/>
          <w:sz w:val="28"/>
          <w:szCs w:val="28"/>
        </w:rPr>
        <w:drawing>
          <wp:inline distT="0" distB="0" distL="114300" distR="114300">
            <wp:extent cx="2556510" cy="1917700"/>
            <wp:effectExtent l="0" t="0" r="3810" b="2540"/>
            <wp:docPr id="54" name="图片 54" descr="webwxgetmsgim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webwxgetmsgimg (5)"/>
                    <pic:cNvPicPr>
                      <a:picLocks noChangeAspect="1"/>
                    </pic:cNvPicPr>
                  </pic:nvPicPr>
                  <pic:blipFill>
                    <a:blip r:embed="rId31"/>
                    <a:stretch>
                      <a:fillRect/>
                    </a:stretch>
                  </pic:blipFill>
                  <pic:spPr>
                    <a:xfrm>
                      <a:off x="0" y="0"/>
                      <a:ext cx="2556510" cy="1917700"/>
                    </a:xfrm>
                    <a:prstGeom prst="rect">
                      <a:avLst/>
                    </a:prstGeom>
                  </pic:spPr>
                </pic:pic>
              </a:graphicData>
            </a:graphic>
          </wp:inline>
        </w:drawing>
      </w:r>
    </w:p>
    <w:p>
      <w:pPr>
        <w:spacing w:line="360" w:lineRule="auto"/>
        <w:jc w:val="center"/>
        <w:rPr>
          <w:rFonts w:ascii="宋体" w:hAnsi="宋体" w:eastAsia="宋体" w:cs="宋体"/>
          <w:b/>
          <w:bCs/>
          <w:color w:val="000000" w:themeColor="text1"/>
          <w:szCs w:val="21"/>
        </w:rPr>
      </w:pPr>
      <w:r>
        <w:rPr>
          <w:rFonts w:hint="eastAsia"/>
          <w:b/>
          <w:bCs/>
        </w:rPr>
        <w:t>产权式酒店</w:t>
      </w:r>
      <w:r>
        <w:rPr>
          <w:rFonts w:hint="eastAsia" w:ascii="宋体" w:hAnsi="宋体" w:eastAsia="宋体" w:cs="宋体"/>
          <w:b/>
          <w:bCs/>
          <w:color w:val="000000" w:themeColor="text1"/>
          <w:szCs w:val="21"/>
        </w:rPr>
        <w:t>内的绿化</w:t>
      </w:r>
    </w:p>
    <w:p>
      <w:pPr>
        <w:spacing w:line="360" w:lineRule="auto"/>
        <w:jc w:val="left"/>
        <w:rPr>
          <w:rFonts w:ascii="宋体" w:hAnsi="宋体" w:eastAsia="宋体" w:cs="宋体"/>
          <w:b/>
          <w:bCs/>
          <w:color w:val="FF0000"/>
          <w:sz w:val="28"/>
          <w:szCs w:val="28"/>
        </w:rPr>
      </w:pPr>
      <w:r>
        <w:rPr>
          <w:rFonts w:hint="eastAsia" w:ascii="宋体" w:hAnsi="宋体" w:eastAsia="宋体" w:cs="宋体"/>
          <w:b/>
          <w:bCs/>
          <w:color w:val="FF0000"/>
          <w:sz w:val="28"/>
          <w:szCs w:val="28"/>
        </w:rPr>
        <w:drawing>
          <wp:inline distT="0" distB="0" distL="114300" distR="114300">
            <wp:extent cx="2517140" cy="1887855"/>
            <wp:effectExtent l="0" t="0" r="12700" b="1905"/>
            <wp:docPr id="57" name="图片 57" descr="webwxgetmsgim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webwxgetmsgimg (6)"/>
                    <pic:cNvPicPr>
                      <a:picLocks noChangeAspect="1"/>
                    </pic:cNvPicPr>
                  </pic:nvPicPr>
                  <pic:blipFill>
                    <a:blip r:embed="rId32"/>
                    <a:stretch>
                      <a:fillRect/>
                    </a:stretch>
                  </pic:blipFill>
                  <pic:spPr>
                    <a:xfrm>
                      <a:off x="0" y="0"/>
                      <a:ext cx="2517140" cy="1887855"/>
                    </a:xfrm>
                    <a:prstGeom prst="rect">
                      <a:avLst/>
                    </a:prstGeom>
                  </pic:spPr>
                </pic:pic>
              </a:graphicData>
            </a:graphic>
          </wp:inline>
        </w:drawing>
      </w:r>
      <w:r>
        <w:rPr>
          <w:rFonts w:hint="eastAsia" w:ascii="宋体" w:hAnsi="宋体" w:eastAsia="宋体" w:cs="宋体"/>
          <w:b/>
          <w:bCs/>
          <w:color w:val="FF0000"/>
          <w:sz w:val="28"/>
          <w:szCs w:val="28"/>
        </w:rPr>
        <w:drawing>
          <wp:inline distT="0" distB="0" distL="114300" distR="114300">
            <wp:extent cx="2510155" cy="1883410"/>
            <wp:effectExtent l="0" t="0" r="4445" b="6350"/>
            <wp:docPr id="38" name="图片 38" descr="webwxgetmsgim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webwxgetmsgimg (7)"/>
                    <pic:cNvPicPr>
                      <a:picLocks noChangeAspect="1"/>
                    </pic:cNvPicPr>
                  </pic:nvPicPr>
                  <pic:blipFill>
                    <a:blip r:embed="rId33"/>
                    <a:stretch>
                      <a:fillRect/>
                    </a:stretch>
                  </pic:blipFill>
                  <pic:spPr>
                    <a:xfrm>
                      <a:off x="0" y="0"/>
                      <a:ext cx="2510155" cy="1883410"/>
                    </a:xfrm>
                    <a:prstGeom prst="rect">
                      <a:avLst/>
                    </a:prstGeom>
                  </pic:spPr>
                </pic:pic>
              </a:graphicData>
            </a:graphic>
          </wp:inline>
        </w:drawing>
      </w:r>
    </w:p>
    <w:p>
      <w:pPr>
        <w:spacing w:line="360" w:lineRule="auto"/>
        <w:jc w:val="center"/>
        <w:rPr>
          <w:rFonts w:ascii="宋体" w:hAnsi="宋体" w:eastAsia="宋体" w:cs="宋体"/>
          <w:b/>
          <w:bCs/>
          <w:color w:val="000000" w:themeColor="text1"/>
          <w:szCs w:val="21"/>
        </w:rPr>
      </w:pPr>
      <w:r>
        <w:rPr>
          <w:rFonts w:hint="eastAsia"/>
          <w:b/>
          <w:bCs/>
        </w:rPr>
        <w:t>产权式酒店</w:t>
      </w:r>
      <w:r>
        <w:rPr>
          <w:rFonts w:hint="eastAsia" w:ascii="宋体" w:hAnsi="宋体" w:eastAsia="宋体" w:cs="宋体"/>
          <w:b/>
          <w:bCs/>
          <w:color w:val="000000" w:themeColor="text1"/>
          <w:szCs w:val="21"/>
        </w:rPr>
        <w:t>内的绿化</w:t>
      </w:r>
    </w:p>
    <w:p>
      <w:pPr>
        <w:spacing w:line="360" w:lineRule="auto"/>
        <w:rPr>
          <w:rFonts w:ascii="宋体" w:hAnsi="宋体" w:eastAsia="宋体" w:cs="宋体"/>
          <w:b/>
          <w:bCs/>
          <w:sz w:val="28"/>
          <w:szCs w:val="28"/>
        </w:rPr>
      </w:pPr>
      <w:r>
        <w:rPr>
          <w:rFonts w:hint="eastAsia" w:ascii="宋体" w:hAnsi="宋体" w:eastAsia="宋体" w:cs="宋体"/>
          <w:b/>
          <w:bCs/>
          <w:sz w:val="28"/>
          <w:szCs w:val="28"/>
        </w:rPr>
        <w:drawing>
          <wp:inline distT="0" distB="0" distL="114300" distR="114300">
            <wp:extent cx="2512060" cy="1884045"/>
            <wp:effectExtent l="0" t="0" r="2540" b="5715"/>
            <wp:docPr id="39" name="图片 39" descr="webwxgetmsgim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webwxgetmsgimg (3)"/>
                    <pic:cNvPicPr>
                      <a:picLocks noChangeAspect="1"/>
                    </pic:cNvPicPr>
                  </pic:nvPicPr>
                  <pic:blipFill>
                    <a:blip r:embed="rId34"/>
                    <a:stretch>
                      <a:fillRect/>
                    </a:stretch>
                  </pic:blipFill>
                  <pic:spPr>
                    <a:xfrm>
                      <a:off x="0" y="0"/>
                      <a:ext cx="2512060" cy="1884045"/>
                    </a:xfrm>
                    <a:prstGeom prst="rect">
                      <a:avLst/>
                    </a:prstGeom>
                  </pic:spPr>
                </pic:pic>
              </a:graphicData>
            </a:graphic>
          </wp:inline>
        </w:drawing>
      </w:r>
      <w:r>
        <w:rPr>
          <w:rFonts w:hint="eastAsia" w:ascii="宋体" w:hAnsi="宋体" w:eastAsia="宋体" w:cs="宋体"/>
          <w:b/>
          <w:bCs/>
          <w:sz w:val="28"/>
          <w:szCs w:val="28"/>
        </w:rPr>
        <w:drawing>
          <wp:inline distT="0" distB="0" distL="114300" distR="114300">
            <wp:extent cx="2535555" cy="1901825"/>
            <wp:effectExtent l="0" t="0" r="9525" b="3175"/>
            <wp:docPr id="40" name="图片 40" descr="webwxgetmsg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webwxgetmsgimg"/>
                    <pic:cNvPicPr>
                      <a:picLocks noChangeAspect="1"/>
                    </pic:cNvPicPr>
                  </pic:nvPicPr>
                  <pic:blipFill>
                    <a:blip r:embed="rId35"/>
                    <a:stretch>
                      <a:fillRect/>
                    </a:stretch>
                  </pic:blipFill>
                  <pic:spPr>
                    <a:xfrm>
                      <a:off x="0" y="0"/>
                      <a:ext cx="2535555" cy="1901825"/>
                    </a:xfrm>
                    <a:prstGeom prst="rect">
                      <a:avLst/>
                    </a:prstGeom>
                  </pic:spPr>
                </pic:pic>
              </a:graphicData>
            </a:graphic>
          </wp:inline>
        </w:drawing>
      </w:r>
    </w:p>
    <w:p>
      <w:pPr>
        <w:spacing w:line="360" w:lineRule="auto"/>
        <w:jc w:val="center"/>
        <w:rPr>
          <w:rFonts w:ascii="宋体" w:hAnsi="宋体" w:eastAsia="宋体" w:cs="宋体"/>
          <w:b/>
          <w:bCs/>
          <w:color w:val="000000" w:themeColor="text1"/>
          <w:szCs w:val="21"/>
        </w:rPr>
      </w:pPr>
      <w:r>
        <w:rPr>
          <w:rFonts w:hint="eastAsia"/>
          <w:b/>
          <w:bCs/>
        </w:rPr>
        <w:t>产权式酒店</w:t>
      </w:r>
      <w:r>
        <w:rPr>
          <w:rFonts w:hint="eastAsia" w:ascii="宋体" w:hAnsi="宋体" w:eastAsia="宋体" w:cs="宋体"/>
          <w:b/>
          <w:bCs/>
          <w:color w:val="000000" w:themeColor="text1"/>
          <w:szCs w:val="21"/>
        </w:rPr>
        <w:t>内的绿化</w:t>
      </w:r>
    </w:p>
    <w:p>
      <w:pPr>
        <w:spacing w:line="360" w:lineRule="auto"/>
        <w:rPr>
          <w:rFonts w:ascii="宋体" w:hAnsi="宋体" w:eastAsia="宋体" w:cs="宋体"/>
          <w:b/>
          <w:bCs/>
          <w:sz w:val="28"/>
          <w:szCs w:val="28"/>
        </w:rPr>
      </w:pPr>
      <w:r>
        <w:rPr>
          <w:rFonts w:hint="eastAsia" w:ascii="宋体" w:hAnsi="宋体" w:eastAsia="宋体" w:cs="宋体"/>
          <w:b/>
          <w:bCs/>
          <w:sz w:val="28"/>
          <w:szCs w:val="28"/>
        </w:rPr>
        <w:drawing>
          <wp:inline distT="0" distB="0" distL="114300" distR="114300">
            <wp:extent cx="2348865" cy="1713865"/>
            <wp:effectExtent l="0" t="0" r="13335" b="8255"/>
            <wp:docPr id="41" name="图片 41" descr="webwxgetmsgim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webwxgetmsgimg (1)"/>
                    <pic:cNvPicPr>
                      <a:picLocks noChangeAspect="1"/>
                    </pic:cNvPicPr>
                  </pic:nvPicPr>
                  <pic:blipFill>
                    <a:blip r:embed="rId36"/>
                    <a:stretch>
                      <a:fillRect/>
                    </a:stretch>
                  </pic:blipFill>
                  <pic:spPr>
                    <a:xfrm>
                      <a:off x="0" y="0"/>
                      <a:ext cx="2348865" cy="1713865"/>
                    </a:xfrm>
                    <a:prstGeom prst="rect">
                      <a:avLst/>
                    </a:prstGeom>
                  </pic:spPr>
                </pic:pic>
              </a:graphicData>
            </a:graphic>
          </wp:inline>
        </w:drawing>
      </w:r>
      <w:r>
        <w:rPr>
          <w:rFonts w:hint="eastAsia" w:ascii="宋体" w:hAnsi="宋体" w:eastAsia="宋体" w:cs="宋体"/>
          <w:b/>
          <w:bCs/>
          <w:sz w:val="28"/>
          <w:szCs w:val="28"/>
        </w:rPr>
        <w:drawing>
          <wp:inline distT="0" distB="0" distL="114300" distR="114300">
            <wp:extent cx="2545080" cy="1694180"/>
            <wp:effectExtent l="0" t="0" r="0" b="12700"/>
            <wp:docPr id="44" name="图片 44" descr="DSC0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DSC00240"/>
                    <pic:cNvPicPr>
                      <a:picLocks noChangeAspect="1"/>
                    </pic:cNvPicPr>
                  </pic:nvPicPr>
                  <pic:blipFill>
                    <a:blip r:embed="rId37"/>
                    <a:stretch>
                      <a:fillRect/>
                    </a:stretch>
                  </pic:blipFill>
                  <pic:spPr>
                    <a:xfrm>
                      <a:off x="0" y="0"/>
                      <a:ext cx="2545080" cy="1694180"/>
                    </a:xfrm>
                    <a:prstGeom prst="rect">
                      <a:avLst/>
                    </a:prstGeom>
                  </pic:spPr>
                </pic:pic>
              </a:graphicData>
            </a:graphic>
          </wp:inline>
        </w:drawing>
      </w:r>
    </w:p>
    <w:p>
      <w:pPr>
        <w:spacing w:line="360" w:lineRule="auto"/>
        <w:ind w:firstLine="1476" w:firstLineChars="700"/>
        <w:rPr>
          <w:rFonts w:ascii="宋体" w:hAnsi="宋体" w:eastAsia="宋体" w:cs="宋体"/>
          <w:b/>
          <w:bCs/>
          <w:color w:val="000000" w:themeColor="text1"/>
          <w:szCs w:val="21"/>
        </w:rPr>
      </w:pPr>
      <w:r>
        <w:rPr>
          <w:rFonts w:hint="eastAsia" w:ascii="宋体" w:hAnsi="宋体" w:eastAsia="宋体" w:cs="宋体"/>
          <w:b/>
          <w:bCs/>
          <w:szCs w:val="21"/>
        </w:rPr>
        <w:t xml:space="preserve">草坪                              </w:t>
      </w:r>
      <w:r>
        <w:rPr>
          <w:rFonts w:hint="eastAsia"/>
          <w:b/>
          <w:bCs/>
        </w:rPr>
        <w:t>产权式酒店</w:t>
      </w:r>
      <w:r>
        <w:rPr>
          <w:rFonts w:hint="eastAsia" w:ascii="宋体" w:hAnsi="宋体" w:eastAsia="宋体" w:cs="宋体"/>
          <w:b/>
          <w:bCs/>
          <w:color w:val="000000" w:themeColor="text1"/>
          <w:szCs w:val="21"/>
        </w:rPr>
        <w:t>内的绿化</w:t>
      </w:r>
    </w:p>
    <w:p>
      <w:pPr>
        <w:spacing w:line="360" w:lineRule="auto"/>
        <w:rPr>
          <w:rFonts w:ascii="宋体" w:hAnsi="宋体" w:eastAsia="宋体" w:cs="宋体"/>
          <w:b/>
          <w:bCs/>
          <w:color w:val="000000" w:themeColor="text1"/>
          <w:szCs w:val="21"/>
        </w:rPr>
      </w:pPr>
      <w:r>
        <w:rPr>
          <w:rFonts w:hint="eastAsia" w:ascii="宋体" w:hAnsi="宋体" w:eastAsia="宋体" w:cs="宋体"/>
          <w:b/>
          <w:bCs/>
          <w:color w:val="000000" w:themeColor="text1"/>
          <w:szCs w:val="21"/>
        </w:rPr>
        <w:drawing>
          <wp:inline distT="0" distB="0" distL="114300" distR="114300">
            <wp:extent cx="2424430" cy="1617980"/>
            <wp:effectExtent l="0" t="0" r="13970" b="12700"/>
            <wp:docPr id="45" name="图片 45" descr="IMG_6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IMG_6460"/>
                    <pic:cNvPicPr>
                      <a:picLocks noChangeAspect="1"/>
                    </pic:cNvPicPr>
                  </pic:nvPicPr>
                  <pic:blipFill>
                    <a:blip r:embed="rId38"/>
                    <a:stretch>
                      <a:fillRect/>
                    </a:stretch>
                  </pic:blipFill>
                  <pic:spPr>
                    <a:xfrm>
                      <a:off x="0" y="0"/>
                      <a:ext cx="2424430" cy="1617980"/>
                    </a:xfrm>
                    <a:prstGeom prst="rect">
                      <a:avLst/>
                    </a:prstGeom>
                  </pic:spPr>
                </pic:pic>
              </a:graphicData>
            </a:graphic>
          </wp:inline>
        </w:drawing>
      </w:r>
      <w:r>
        <w:rPr>
          <w:rFonts w:hint="eastAsia" w:ascii="宋体" w:hAnsi="宋体" w:eastAsia="宋体" w:cs="宋体"/>
          <w:b/>
          <w:bCs/>
          <w:color w:val="000000" w:themeColor="text1"/>
          <w:szCs w:val="21"/>
        </w:rPr>
        <w:drawing>
          <wp:inline distT="0" distB="0" distL="114300" distR="114300">
            <wp:extent cx="2472690" cy="1650365"/>
            <wp:effectExtent l="0" t="0" r="11430" b="10795"/>
            <wp:docPr id="46" name="图片 46" descr="_DSC9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_DSC9385"/>
                    <pic:cNvPicPr>
                      <a:picLocks noChangeAspect="1"/>
                    </pic:cNvPicPr>
                  </pic:nvPicPr>
                  <pic:blipFill>
                    <a:blip r:embed="rId39"/>
                    <a:stretch>
                      <a:fillRect/>
                    </a:stretch>
                  </pic:blipFill>
                  <pic:spPr>
                    <a:xfrm>
                      <a:off x="0" y="0"/>
                      <a:ext cx="2472690" cy="1650365"/>
                    </a:xfrm>
                    <a:prstGeom prst="rect">
                      <a:avLst/>
                    </a:prstGeom>
                  </pic:spPr>
                </pic:pic>
              </a:graphicData>
            </a:graphic>
          </wp:inline>
        </w:drawing>
      </w:r>
    </w:p>
    <w:p>
      <w:pPr>
        <w:spacing w:line="360" w:lineRule="auto"/>
        <w:ind w:firstLine="3373" w:firstLineChars="1600"/>
        <w:rPr>
          <w:rFonts w:ascii="宋体" w:hAnsi="宋体" w:eastAsia="宋体" w:cs="宋体"/>
          <w:b/>
          <w:bCs/>
          <w:color w:val="000000" w:themeColor="text1"/>
          <w:szCs w:val="21"/>
        </w:rPr>
      </w:pPr>
      <w:r>
        <w:rPr>
          <w:rFonts w:hint="eastAsia"/>
          <w:b/>
          <w:bCs/>
        </w:rPr>
        <w:t>产权式酒店</w:t>
      </w:r>
      <w:r>
        <w:rPr>
          <w:rFonts w:hint="eastAsia" w:ascii="宋体" w:hAnsi="宋体" w:eastAsia="宋体" w:cs="宋体"/>
          <w:b/>
          <w:bCs/>
          <w:color w:val="000000" w:themeColor="text1"/>
          <w:szCs w:val="21"/>
        </w:rPr>
        <w:t>景观</w:t>
      </w:r>
    </w:p>
    <w:p>
      <w:pPr>
        <w:spacing w:line="360" w:lineRule="auto"/>
        <w:rPr>
          <w:rFonts w:ascii="宋体" w:hAnsi="宋体" w:eastAsia="宋体" w:cs="宋体"/>
          <w:b/>
          <w:bCs/>
          <w:color w:val="000000" w:themeColor="text1"/>
          <w:szCs w:val="21"/>
        </w:rPr>
      </w:pPr>
      <w:r>
        <w:rPr>
          <w:rFonts w:hint="eastAsia" w:ascii="宋体" w:hAnsi="宋体" w:eastAsia="宋体" w:cs="宋体"/>
          <w:b/>
          <w:bCs/>
          <w:color w:val="000000" w:themeColor="text1"/>
          <w:szCs w:val="21"/>
        </w:rPr>
        <w:drawing>
          <wp:inline distT="0" distB="0" distL="114300" distR="114300">
            <wp:extent cx="2496185" cy="1665605"/>
            <wp:effectExtent l="0" t="0" r="3175" b="10795"/>
            <wp:docPr id="48" name="图片 48" descr="_MG_6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_MG_6963"/>
                    <pic:cNvPicPr>
                      <a:picLocks noChangeAspect="1"/>
                    </pic:cNvPicPr>
                  </pic:nvPicPr>
                  <pic:blipFill>
                    <a:blip r:embed="rId40"/>
                    <a:stretch>
                      <a:fillRect/>
                    </a:stretch>
                  </pic:blipFill>
                  <pic:spPr>
                    <a:xfrm>
                      <a:off x="0" y="0"/>
                      <a:ext cx="2496185" cy="1665605"/>
                    </a:xfrm>
                    <a:prstGeom prst="rect">
                      <a:avLst/>
                    </a:prstGeom>
                  </pic:spPr>
                </pic:pic>
              </a:graphicData>
            </a:graphic>
          </wp:inline>
        </w:drawing>
      </w:r>
      <w:r>
        <w:rPr>
          <w:rFonts w:hint="eastAsia" w:ascii="宋体" w:hAnsi="宋体" w:eastAsia="宋体" w:cs="宋体"/>
          <w:b/>
          <w:bCs/>
          <w:color w:val="000000" w:themeColor="text1"/>
          <w:szCs w:val="21"/>
        </w:rPr>
        <w:drawing>
          <wp:inline distT="0" distB="0" distL="114300" distR="114300">
            <wp:extent cx="2528570" cy="1682750"/>
            <wp:effectExtent l="0" t="0" r="1270" b="8890"/>
            <wp:docPr id="60" name="图片 60" descr="初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初夏"/>
                    <pic:cNvPicPr>
                      <a:picLocks noChangeAspect="1"/>
                    </pic:cNvPicPr>
                  </pic:nvPicPr>
                  <pic:blipFill>
                    <a:blip r:embed="rId41"/>
                    <a:stretch>
                      <a:fillRect/>
                    </a:stretch>
                  </pic:blipFill>
                  <pic:spPr>
                    <a:xfrm>
                      <a:off x="0" y="0"/>
                      <a:ext cx="2528570" cy="1682750"/>
                    </a:xfrm>
                    <a:prstGeom prst="rect">
                      <a:avLst/>
                    </a:prstGeom>
                  </pic:spPr>
                </pic:pic>
              </a:graphicData>
            </a:graphic>
          </wp:inline>
        </w:drawing>
      </w:r>
    </w:p>
    <w:p>
      <w:pPr>
        <w:spacing w:line="360" w:lineRule="auto"/>
        <w:jc w:val="center"/>
        <w:rPr>
          <w:rFonts w:ascii="宋体" w:hAnsi="宋体" w:eastAsia="宋体" w:cs="宋体"/>
          <w:b/>
          <w:bCs/>
          <w:color w:val="000000" w:themeColor="text1"/>
          <w:szCs w:val="21"/>
        </w:rPr>
      </w:pPr>
      <w:r>
        <w:rPr>
          <w:rFonts w:hint="eastAsia"/>
          <w:b/>
          <w:bCs/>
        </w:rPr>
        <w:t>产权式酒店</w:t>
      </w:r>
      <w:r>
        <w:rPr>
          <w:rFonts w:hint="eastAsia" w:ascii="宋体" w:hAnsi="宋体" w:eastAsia="宋体" w:cs="宋体"/>
          <w:b/>
          <w:bCs/>
          <w:color w:val="000000" w:themeColor="text1"/>
          <w:szCs w:val="21"/>
        </w:rPr>
        <w:t>景观</w:t>
      </w:r>
    </w:p>
    <w:p>
      <w:pPr>
        <w:spacing w:line="360" w:lineRule="auto"/>
        <w:jc w:val="center"/>
        <w:rPr>
          <w:rFonts w:ascii="宋体" w:hAnsi="宋体" w:eastAsia="宋体" w:cs="宋体"/>
          <w:b/>
          <w:bCs/>
          <w:color w:val="000000" w:themeColor="text1"/>
          <w:szCs w:val="21"/>
        </w:rPr>
      </w:pPr>
      <w:r>
        <w:rPr>
          <w:rFonts w:hint="eastAsia" w:ascii="宋体" w:hAnsi="宋体" w:eastAsia="宋体" w:cs="宋体"/>
          <w:b/>
          <w:bCs/>
          <w:color w:val="000000" w:themeColor="text1"/>
          <w:szCs w:val="21"/>
        </w:rPr>
        <w:drawing>
          <wp:inline distT="0" distB="0" distL="114300" distR="114300">
            <wp:extent cx="2158365" cy="3239770"/>
            <wp:effectExtent l="0" t="0" r="5715" b="6350"/>
            <wp:docPr id="66" name="图片 66" descr="_MG_6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_MG_6974"/>
                    <pic:cNvPicPr>
                      <a:picLocks noChangeAspect="1"/>
                    </pic:cNvPicPr>
                  </pic:nvPicPr>
                  <pic:blipFill>
                    <a:blip r:embed="rId42"/>
                    <a:stretch>
                      <a:fillRect/>
                    </a:stretch>
                  </pic:blipFill>
                  <pic:spPr>
                    <a:xfrm>
                      <a:off x="0" y="0"/>
                      <a:ext cx="2158365" cy="3239770"/>
                    </a:xfrm>
                    <a:prstGeom prst="rect">
                      <a:avLst/>
                    </a:prstGeom>
                  </pic:spPr>
                </pic:pic>
              </a:graphicData>
            </a:graphic>
          </wp:inline>
        </w:drawing>
      </w:r>
      <w:r>
        <w:rPr>
          <w:rFonts w:hint="eastAsia" w:ascii="宋体" w:hAnsi="宋体" w:eastAsia="宋体" w:cs="宋体"/>
          <w:b/>
          <w:bCs/>
          <w:color w:val="000000" w:themeColor="text1"/>
          <w:szCs w:val="21"/>
        </w:rPr>
        <w:drawing>
          <wp:inline distT="0" distB="0" distL="114300" distR="114300">
            <wp:extent cx="2165985" cy="3251200"/>
            <wp:effectExtent l="0" t="0" r="13335" b="10160"/>
            <wp:docPr id="67" name="图片 67" descr="IMG_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IMG_6208"/>
                    <pic:cNvPicPr>
                      <a:picLocks noChangeAspect="1"/>
                    </pic:cNvPicPr>
                  </pic:nvPicPr>
                  <pic:blipFill>
                    <a:blip r:embed="rId43"/>
                    <a:stretch>
                      <a:fillRect/>
                    </a:stretch>
                  </pic:blipFill>
                  <pic:spPr>
                    <a:xfrm>
                      <a:off x="0" y="0"/>
                      <a:ext cx="2165985" cy="3251200"/>
                    </a:xfrm>
                    <a:prstGeom prst="rect">
                      <a:avLst/>
                    </a:prstGeom>
                  </pic:spPr>
                </pic:pic>
              </a:graphicData>
            </a:graphic>
          </wp:inline>
        </w:drawing>
      </w:r>
    </w:p>
    <w:p>
      <w:pPr>
        <w:spacing w:line="360" w:lineRule="auto"/>
        <w:jc w:val="center"/>
        <w:rPr>
          <w:rFonts w:ascii="宋体" w:hAnsi="宋体" w:eastAsia="宋体" w:cs="宋体"/>
          <w:b/>
          <w:bCs/>
          <w:color w:val="000000" w:themeColor="text1"/>
          <w:szCs w:val="21"/>
        </w:rPr>
      </w:pPr>
      <w:r>
        <w:rPr>
          <w:rFonts w:hint="eastAsia"/>
          <w:b/>
          <w:bCs/>
        </w:rPr>
        <w:t>产权式酒店</w:t>
      </w:r>
      <w:r>
        <w:rPr>
          <w:rFonts w:hint="eastAsia" w:ascii="宋体" w:hAnsi="宋体" w:eastAsia="宋体" w:cs="宋体"/>
          <w:b/>
          <w:bCs/>
          <w:color w:val="000000" w:themeColor="text1"/>
          <w:szCs w:val="21"/>
        </w:rPr>
        <w:t>景观</w:t>
      </w: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outlineLvl w:val="0"/>
        <w:rPr>
          <w:rFonts w:ascii="宋体" w:hAnsi="宋体" w:eastAsia="宋体" w:cs="宋体"/>
          <w:b/>
          <w:bCs/>
          <w:sz w:val="28"/>
          <w:szCs w:val="28"/>
        </w:rPr>
      </w:pPr>
      <w:bookmarkStart w:id="20" w:name="_Toc24927"/>
      <w:r>
        <w:rPr>
          <w:rFonts w:hint="eastAsia" w:ascii="宋体" w:hAnsi="宋体" w:eastAsia="宋体" w:cs="宋体"/>
          <w:b/>
          <w:bCs/>
          <w:sz w:val="28"/>
          <w:szCs w:val="28"/>
        </w:rPr>
        <w:t>6生态环境影响调查</w:t>
      </w:r>
      <w:bookmarkEnd w:id="20"/>
    </w:p>
    <w:p>
      <w:pPr>
        <w:spacing w:line="360" w:lineRule="auto"/>
        <w:outlineLvl w:val="1"/>
        <w:rPr>
          <w:rFonts w:ascii="宋体" w:hAnsi="宋体" w:eastAsia="宋体" w:cs="宋体"/>
          <w:b/>
          <w:bCs/>
          <w:sz w:val="28"/>
          <w:szCs w:val="28"/>
        </w:rPr>
      </w:pPr>
      <w:bookmarkStart w:id="21" w:name="_Toc17461"/>
      <w:r>
        <w:rPr>
          <w:rFonts w:hint="eastAsia" w:ascii="宋体" w:hAnsi="宋体" w:eastAsia="宋体" w:cs="宋体"/>
          <w:b/>
          <w:bCs/>
          <w:sz w:val="28"/>
          <w:szCs w:val="28"/>
        </w:rPr>
        <w:t>6.1项目占地性质及占地面积调查</w:t>
      </w:r>
      <w:bookmarkEnd w:id="21"/>
    </w:p>
    <w:p>
      <w:pPr>
        <w:spacing w:line="360" w:lineRule="auto"/>
        <w:ind w:firstLine="562"/>
        <w:rPr>
          <w:rFonts w:ascii="宋体" w:hAnsi="宋体" w:eastAsia="宋体" w:cs="宋体"/>
          <w:sz w:val="28"/>
          <w:szCs w:val="28"/>
        </w:rPr>
      </w:pPr>
      <w:r>
        <w:rPr>
          <w:rFonts w:hint="eastAsia" w:ascii="宋体" w:hAnsi="宋体" w:eastAsia="宋体" w:cs="宋体"/>
          <w:sz w:val="28"/>
          <w:szCs w:val="28"/>
        </w:rPr>
        <w:t>根据用地批复文件（呼国土资函字【2012】83号，附件6）可知，太伟运动休闲度假村所有建设项目占地类型包括农用地（包括耕地、林地、牧草地）、建设用地、未利用土地3种类型，本项目占地类型为建设用地和未利用土地。</w:t>
      </w:r>
    </w:p>
    <w:p>
      <w:pPr>
        <w:spacing w:line="360" w:lineRule="auto"/>
        <w:ind w:firstLine="562"/>
        <w:rPr>
          <w:rFonts w:ascii="宋体" w:hAnsi="宋体" w:eastAsia="宋体" w:cs="宋体"/>
          <w:color w:val="000000" w:themeColor="text1"/>
          <w:sz w:val="28"/>
          <w:szCs w:val="28"/>
        </w:rPr>
      </w:pPr>
      <w:r>
        <w:rPr>
          <w:rFonts w:hint="eastAsia" w:ascii="宋体" w:hAnsi="宋体" w:eastAsia="宋体" w:cs="宋体"/>
          <w:sz w:val="28"/>
          <w:szCs w:val="28"/>
        </w:rPr>
        <w:t>环评报告中未给出产权式酒店占地面积，产权式酒店实际占地面积</w:t>
      </w:r>
      <w:r>
        <w:rPr>
          <w:rFonts w:hint="eastAsia" w:ascii="宋体" w:hAnsi="宋体" w:eastAsia="宋体" w:cs="宋体"/>
          <w:color w:val="000000" w:themeColor="text1"/>
          <w:sz w:val="28"/>
          <w:szCs w:val="28"/>
        </w:rPr>
        <w:t>57125.4m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。其中建设用地13628m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，其余为未利用地。</w:t>
      </w:r>
    </w:p>
    <w:p>
      <w:pPr>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本项目共设置2座锅炉房，北锅炉房是将原有燃煤锅炉改建为燃气锅炉，不新增占地；南锅炉房为新建锅炉房，占地面积50m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w:t>
      </w:r>
    </w:p>
    <w:p>
      <w:pPr>
        <w:spacing w:line="360" w:lineRule="auto"/>
        <w:outlineLvl w:val="1"/>
        <w:rPr>
          <w:rFonts w:ascii="宋体" w:hAnsi="宋体" w:eastAsia="宋体" w:cs="宋体"/>
          <w:b/>
          <w:bCs/>
          <w:color w:val="000000" w:themeColor="text1"/>
          <w:sz w:val="28"/>
          <w:szCs w:val="28"/>
        </w:rPr>
      </w:pPr>
      <w:bookmarkStart w:id="22" w:name="_Toc16135"/>
      <w:r>
        <w:rPr>
          <w:rFonts w:hint="eastAsia" w:ascii="宋体" w:hAnsi="宋体" w:eastAsia="宋体" w:cs="宋体"/>
          <w:b/>
          <w:bCs/>
          <w:color w:val="000000" w:themeColor="text1"/>
          <w:sz w:val="28"/>
          <w:szCs w:val="28"/>
        </w:rPr>
        <w:t>6.2项目区绿化情况调查</w:t>
      </w:r>
      <w:bookmarkEnd w:id="22"/>
    </w:p>
    <w:p>
      <w:pPr>
        <w:spacing w:line="360" w:lineRule="auto"/>
        <w:ind w:firstLine="56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该项目绿化面积共计33140m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绿化率达到58%。绿化的植被种类包括国槐、白蜡、垂柳、丛生蒙古栎、报马子、龙抓槐、山杏、苹果、山楂、北美海棠、西府海棠、榆叶梅、紫叶矮樱、金银木、玫瑰、金叶榆、丁香、水蜡、珍珠梅、马蔺、侧柏、樟子松、桧柏、云杉、紫叶李、金山绣线菊、卫矛、大花萱草等40余种。</w:t>
      </w:r>
    </w:p>
    <w:p>
      <w:pPr>
        <w:spacing w:line="360" w:lineRule="auto"/>
        <w:outlineLvl w:val="1"/>
        <w:rPr>
          <w:rFonts w:ascii="宋体" w:hAnsi="宋体" w:eastAsia="宋体" w:cs="宋体"/>
          <w:b/>
          <w:bCs/>
          <w:color w:val="000000" w:themeColor="text1"/>
          <w:sz w:val="28"/>
          <w:szCs w:val="28"/>
        </w:rPr>
      </w:pPr>
      <w:bookmarkStart w:id="23" w:name="_Toc30851"/>
      <w:r>
        <w:rPr>
          <w:rFonts w:hint="eastAsia" w:ascii="宋体" w:hAnsi="宋体" w:eastAsia="宋体" w:cs="宋体"/>
          <w:b/>
          <w:bCs/>
          <w:color w:val="000000" w:themeColor="text1"/>
          <w:sz w:val="28"/>
          <w:szCs w:val="28"/>
        </w:rPr>
        <w:t>6.3遥感调查</w:t>
      </w:r>
      <w:bookmarkEnd w:id="23"/>
    </w:p>
    <w:p>
      <w:pPr>
        <w:spacing w:line="360" w:lineRule="auto"/>
        <w:ind w:firstLine="561"/>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为了解土地利用类型及植被类型情况，客观反映项目区竣工环境保护验收时段现状，采用卫星遥感图进行解译。解译评价范围1km，遥感调查的指标有：土壤侵蚀类型、土地利用类型、植被类型等。</w:t>
      </w:r>
    </w:p>
    <w:p>
      <w:pPr>
        <w:spacing w:line="360" w:lineRule="auto"/>
        <w:outlineLvl w:val="2"/>
        <w:rPr>
          <w:rFonts w:ascii="宋体" w:hAnsi="宋体" w:eastAsia="宋体" w:cs="宋体"/>
          <w:b/>
          <w:bCs/>
          <w:color w:val="000000" w:themeColor="text1"/>
          <w:sz w:val="28"/>
          <w:szCs w:val="28"/>
        </w:rPr>
      </w:pPr>
      <w:bookmarkStart w:id="24" w:name="_Toc21093"/>
      <w:r>
        <w:rPr>
          <w:rFonts w:hint="eastAsia" w:ascii="宋体" w:hAnsi="宋体" w:eastAsia="宋体" w:cs="宋体"/>
          <w:b/>
          <w:bCs/>
          <w:color w:val="000000" w:themeColor="text1"/>
          <w:sz w:val="28"/>
          <w:szCs w:val="28"/>
        </w:rPr>
        <w:t>6.3.1土壤侵蚀类型调查</w:t>
      </w:r>
      <w:bookmarkEnd w:id="24"/>
    </w:p>
    <w:p>
      <w:pPr>
        <w:spacing w:line="360" w:lineRule="auto"/>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 xml:space="preserve">    土壤侵蚀类型调查见图6.1，遥感影像图见图6.2。从图6.1中可以看出，本项目区域属于微度侵蚀。</w:t>
      </w:r>
    </w:p>
    <w:p>
      <w:pPr>
        <w:spacing w:line="360" w:lineRule="auto"/>
        <w:rPr>
          <w:rFonts w:ascii="宋体" w:hAnsi="宋体" w:eastAsia="宋体" w:cs="宋体"/>
          <w:kern w:val="0"/>
          <w:sz w:val="24"/>
        </w:rPr>
      </w:pPr>
      <w:r>
        <w:rPr>
          <w:rFonts w:ascii="宋体" w:hAnsi="宋体" w:eastAsia="宋体" w:cs="宋体"/>
          <w:kern w:val="0"/>
          <w:sz w:val="24"/>
        </w:rPr>
        <w:drawing>
          <wp:inline distT="0" distB="0" distL="114300" distR="114300">
            <wp:extent cx="5198110" cy="3618865"/>
            <wp:effectExtent l="0" t="0" r="13970" b="8255"/>
            <wp:docPr id="2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descr="IMG_256"/>
                    <pic:cNvPicPr>
                      <a:picLocks noChangeAspect="1"/>
                    </pic:cNvPicPr>
                  </pic:nvPicPr>
                  <pic:blipFill>
                    <a:blip r:embed="rId44"/>
                    <a:stretch>
                      <a:fillRect/>
                    </a:stretch>
                  </pic:blipFill>
                  <pic:spPr>
                    <a:xfrm>
                      <a:off x="0" y="0"/>
                      <a:ext cx="5198110" cy="3618865"/>
                    </a:xfrm>
                    <a:prstGeom prst="rect">
                      <a:avLst/>
                    </a:prstGeom>
                    <a:noFill/>
                    <a:ln w="9525">
                      <a:noFill/>
                    </a:ln>
                  </pic:spPr>
                </pic:pic>
              </a:graphicData>
            </a:graphic>
          </wp:inline>
        </w:drawing>
      </w:r>
    </w:p>
    <w:p>
      <w:pPr>
        <w:spacing w:line="360" w:lineRule="auto"/>
        <w:jc w:val="center"/>
        <w:rPr>
          <w:rFonts w:ascii="宋体" w:hAnsi="宋体" w:eastAsia="宋体" w:cs="宋体"/>
          <w:b/>
          <w:bCs/>
          <w:color w:val="000000" w:themeColor="text1"/>
          <w:szCs w:val="21"/>
        </w:rPr>
      </w:pPr>
      <w:r>
        <w:rPr>
          <w:rFonts w:hint="eastAsia" w:ascii="宋体" w:hAnsi="宋体" w:eastAsia="宋体" w:cs="宋体"/>
          <w:b/>
          <w:bCs/>
          <w:color w:val="000000" w:themeColor="text1"/>
          <w:szCs w:val="21"/>
        </w:rPr>
        <w:t>图6.1  土壤侵蚀类型图</w:t>
      </w:r>
    </w:p>
    <w:p>
      <w:pPr>
        <w:spacing w:line="360" w:lineRule="auto"/>
        <w:jc w:val="center"/>
        <w:rPr>
          <w:rFonts w:ascii="宋体" w:hAnsi="宋体" w:eastAsia="宋体" w:cs="宋体"/>
          <w:kern w:val="0"/>
          <w:sz w:val="24"/>
        </w:rPr>
      </w:pPr>
      <w:r>
        <w:rPr>
          <w:rFonts w:ascii="宋体" w:hAnsi="宋体" w:eastAsia="宋体" w:cs="宋体"/>
          <w:kern w:val="0"/>
          <w:sz w:val="24"/>
        </w:rPr>
        <w:drawing>
          <wp:inline distT="0" distB="0" distL="114300" distR="114300">
            <wp:extent cx="5295265" cy="3743960"/>
            <wp:effectExtent l="0" t="0" r="8255" b="5080"/>
            <wp:docPr id="2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IMG_256"/>
                    <pic:cNvPicPr>
                      <a:picLocks noChangeAspect="1"/>
                    </pic:cNvPicPr>
                  </pic:nvPicPr>
                  <pic:blipFill>
                    <a:blip r:embed="rId45"/>
                    <a:stretch>
                      <a:fillRect/>
                    </a:stretch>
                  </pic:blipFill>
                  <pic:spPr>
                    <a:xfrm>
                      <a:off x="0" y="0"/>
                      <a:ext cx="5295265" cy="3743960"/>
                    </a:xfrm>
                    <a:prstGeom prst="rect">
                      <a:avLst/>
                    </a:prstGeom>
                    <a:noFill/>
                    <a:ln w="9525">
                      <a:noFill/>
                    </a:ln>
                  </pic:spPr>
                </pic:pic>
              </a:graphicData>
            </a:graphic>
          </wp:inline>
        </w:drawing>
      </w:r>
    </w:p>
    <w:p>
      <w:pPr>
        <w:spacing w:line="360" w:lineRule="auto"/>
        <w:jc w:val="center"/>
        <w:rPr>
          <w:rFonts w:ascii="宋体" w:hAnsi="宋体" w:eastAsia="宋体" w:cs="宋体"/>
          <w:kern w:val="0"/>
          <w:sz w:val="24"/>
        </w:rPr>
      </w:pPr>
      <w:r>
        <w:rPr>
          <w:rFonts w:hint="eastAsia" w:ascii="宋体" w:hAnsi="宋体" w:eastAsia="宋体" w:cs="宋体"/>
          <w:b/>
          <w:bCs/>
          <w:color w:val="000000" w:themeColor="text1"/>
          <w:szCs w:val="21"/>
        </w:rPr>
        <w:t>图6.2  遥感影像图</w:t>
      </w:r>
    </w:p>
    <w:p>
      <w:pPr>
        <w:spacing w:line="360" w:lineRule="auto"/>
        <w:rPr>
          <w:rFonts w:ascii="宋体" w:hAnsi="宋体" w:eastAsia="宋体" w:cs="宋体"/>
          <w:b/>
          <w:bCs/>
          <w:color w:val="000000" w:themeColor="text1"/>
          <w:sz w:val="28"/>
          <w:szCs w:val="28"/>
        </w:rPr>
      </w:pPr>
    </w:p>
    <w:p>
      <w:pPr>
        <w:spacing w:line="360" w:lineRule="auto"/>
        <w:outlineLvl w:val="2"/>
        <w:rPr>
          <w:rFonts w:ascii="宋体" w:hAnsi="宋体" w:eastAsia="宋体" w:cs="宋体"/>
          <w:b/>
          <w:bCs/>
          <w:color w:val="000000" w:themeColor="text1"/>
          <w:sz w:val="28"/>
          <w:szCs w:val="28"/>
        </w:rPr>
      </w:pPr>
      <w:bookmarkStart w:id="25" w:name="_Toc25901"/>
      <w:r>
        <w:rPr>
          <w:rFonts w:hint="eastAsia" w:ascii="宋体" w:hAnsi="宋体" w:eastAsia="宋体" w:cs="宋体"/>
          <w:b/>
          <w:bCs/>
          <w:color w:val="000000" w:themeColor="text1"/>
          <w:sz w:val="28"/>
          <w:szCs w:val="28"/>
        </w:rPr>
        <w:t>6.3.2土地利用类型调查</w:t>
      </w:r>
      <w:bookmarkEnd w:id="25"/>
    </w:p>
    <w:p>
      <w:pPr>
        <w:widowControl/>
        <w:jc w:val="left"/>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土地利用类型调查见图6.3。</w:t>
      </w:r>
    </w:p>
    <w:p>
      <w:pPr>
        <w:widowControl/>
        <w:jc w:val="left"/>
      </w:pPr>
      <w:r>
        <w:rPr>
          <w:rFonts w:ascii="宋体" w:hAnsi="宋体" w:eastAsia="宋体" w:cs="宋体"/>
          <w:kern w:val="0"/>
          <w:sz w:val="24"/>
        </w:rPr>
        <w:drawing>
          <wp:inline distT="0" distB="0" distL="114300" distR="114300">
            <wp:extent cx="5202555" cy="3610610"/>
            <wp:effectExtent l="0" t="0" r="9525" b="1270"/>
            <wp:docPr id="2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descr="IMG_256"/>
                    <pic:cNvPicPr>
                      <a:picLocks noChangeAspect="1"/>
                    </pic:cNvPicPr>
                  </pic:nvPicPr>
                  <pic:blipFill>
                    <a:blip r:embed="rId46"/>
                    <a:stretch>
                      <a:fillRect/>
                    </a:stretch>
                  </pic:blipFill>
                  <pic:spPr>
                    <a:xfrm>
                      <a:off x="0" y="0"/>
                      <a:ext cx="5202555" cy="3610610"/>
                    </a:xfrm>
                    <a:prstGeom prst="rect">
                      <a:avLst/>
                    </a:prstGeom>
                    <a:noFill/>
                    <a:ln w="9525">
                      <a:noFill/>
                    </a:ln>
                  </pic:spPr>
                </pic:pic>
              </a:graphicData>
            </a:graphic>
          </wp:inline>
        </w:drawing>
      </w:r>
    </w:p>
    <w:p>
      <w:pPr>
        <w:spacing w:line="360" w:lineRule="auto"/>
        <w:jc w:val="center"/>
        <w:rPr>
          <w:rFonts w:ascii="宋体" w:hAnsi="宋体" w:eastAsia="宋体" w:cs="宋体"/>
          <w:kern w:val="0"/>
          <w:sz w:val="24"/>
        </w:rPr>
      </w:pPr>
      <w:r>
        <w:rPr>
          <w:rFonts w:hint="eastAsia" w:ascii="宋体" w:hAnsi="宋体" w:eastAsia="宋体" w:cs="宋体"/>
          <w:b/>
          <w:bCs/>
          <w:color w:val="000000" w:themeColor="text1"/>
          <w:szCs w:val="21"/>
        </w:rPr>
        <w:t>图6.3  土地利用类型图</w:t>
      </w:r>
    </w:p>
    <w:p>
      <w:pPr>
        <w:widowControl/>
        <w:ind w:firstLine="560" w:firstLineChars="200"/>
        <w:jc w:val="left"/>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根据遥感调查分析，项目区土地利用状况见表6-1。</w:t>
      </w:r>
    </w:p>
    <w:p>
      <w:pPr>
        <w:widowControl/>
        <w:ind w:firstLine="422" w:firstLineChars="200"/>
        <w:jc w:val="center"/>
        <w:rPr>
          <w:rFonts w:ascii="宋体" w:hAnsi="宋体" w:eastAsia="宋体" w:cs="宋体"/>
          <w:b/>
          <w:bCs/>
          <w:color w:val="000000" w:themeColor="text1"/>
          <w:szCs w:val="21"/>
        </w:rPr>
      </w:pPr>
      <w:r>
        <w:rPr>
          <w:rFonts w:hint="eastAsia" w:ascii="宋体" w:hAnsi="宋体" w:eastAsia="宋体" w:cs="宋体"/>
          <w:b/>
          <w:bCs/>
          <w:color w:val="000000" w:themeColor="text1"/>
          <w:szCs w:val="21"/>
        </w:rPr>
        <w:t>表6-1  土地利用类型统计表</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1"/>
        <w:gridCol w:w="1524"/>
        <w:gridCol w:w="1175"/>
        <w:gridCol w:w="1420"/>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085" w:type="dxa"/>
            <w:gridSpan w:val="2"/>
            <w:tcBorders>
              <w:top w:val="single" w:color="auto" w:sz="12" w:space="0"/>
              <w:lef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土地利用类型</w:t>
            </w:r>
          </w:p>
        </w:tc>
        <w:tc>
          <w:tcPr>
            <w:tcW w:w="1175" w:type="dxa"/>
            <w:vMerge w:val="restart"/>
            <w:tcBorders>
              <w:top w:val="single" w:color="auto" w:sz="12" w:space="0"/>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斑块面积</w:t>
            </w:r>
          </w:p>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（hm</w:t>
            </w:r>
            <w:r>
              <w:rPr>
                <w:rFonts w:hint="eastAsia" w:ascii="宋体" w:hAnsi="宋体" w:eastAsia="宋体" w:cs="宋体"/>
                <w:color w:val="000000" w:themeColor="text1"/>
                <w:szCs w:val="21"/>
                <w:vertAlign w:val="superscript"/>
              </w:rPr>
              <w:t>2</w:t>
            </w:r>
            <w:r>
              <w:rPr>
                <w:rFonts w:hint="eastAsia" w:ascii="宋体" w:hAnsi="宋体" w:eastAsia="宋体" w:cs="宋体"/>
                <w:color w:val="000000" w:themeColor="text1"/>
                <w:szCs w:val="21"/>
              </w:rPr>
              <w:t>）</w:t>
            </w:r>
          </w:p>
        </w:tc>
        <w:tc>
          <w:tcPr>
            <w:tcW w:w="1420" w:type="dxa"/>
            <w:vMerge w:val="restart"/>
            <w:tcBorders>
              <w:top w:val="single" w:color="auto" w:sz="12" w:space="0"/>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百分比%</w:t>
            </w:r>
          </w:p>
        </w:tc>
        <w:tc>
          <w:tcPr>
            <w:tcW w:w="1421" w:type="dxa"/>
            <w:vMerge w:val="restart"/>
            <w:tcBorders>
              <w:top w:val="single" w:color="auto" w:sz="12" w:space="0"/>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项目区面积（hm</w:t>
            </w:r>
            <w:r>
              <w:rPr>
                <w:rFonts w:hint="eastAsia" w:ascii="宋体" w:hAnsi="宋体" w:eastAsia="宋体" w:cs="宋体"/>
                <w:color w:val="000000" w:themeColor="text1"/>
                <w:szCs w:val="21"/>
                <w:vertAlign w:val="superscript"/>
              </w:rPr>
              <w:t>2</w:t>
            </w:r>
            <w:r>
              <w:rPr>
                <w:rFonts w:hint="eastAsia" w:ascii="宋体" w:hAnsi="宋体" w:eastAsia="宋体" w:cs="宋体"/>
                <w:color w:val="000000" w:themeColor="text1"/>
                <w:szCs w:val="21"/>
              </w:rPr>
              <w:t>）</w:t>
            </w:r>
          </w:p>
        </w:tc>
        <w:tc>
          <w:tcPr>
            <w:tcW w:w="1421" w:type="dxa"/>
            <w:vMerge w:val="restart"/>
            <w:tcBorders>
              <w:top w:val="single" w:color="auto" w:sz="12" w:space="0"/>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百分比%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1" w:type="dxa"/>
            <w:tcBorders>
              <w:left w:val="nil"/>
              <w:bottom w:val="single" w:color="auto" w:sz="12" w:space="0"/>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一级类型</w:t>
            </w:r>
          </w:p>
        </w:tc>
        <w:tc>
          <w:tcPr>
            <w:tcW w:w="1524" w:type="dxa"/>
            <w:tcBorders>
              <w:bottom w:val="single" w:color="auto" w:sz="12" w:space="0"/>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二级类型</w:t>
            </w:r>
          </w:p>
        </w:tc>
        <w:tc>
          <w:tcPr>
            <w:tcW w:w="1175" w:type="dxa"/>
            <w:vMerge w:val="continue"/>
            <w:tcBorders>
              <w:bottom w:val="single" w:color="000000" w:sz="12" w:space="0"/>
            </w:tcBorders>
            <w:vAlign w:val="center"/>
          </w:tcPr>
          <w:p>
            <w:pPr>
              <w:widowControl/>
              <w:jc w:val="center"/>
              <w:textAlignment w:val="bottom"/>
              <w:rPr>
                <w:rFonts w:ascii="宋体" w:hAnsi="宋体" w:eastAsia="宋体" w:cs="宋体"/>
                <w:color w:val="000000" w:themeColor="text1"/>
                <w:szCs w:val="21"/>
              </w:rPr>
            </w:pPr>
          </w:p>
        </w:tc>
        <w:tc>
          <w:tcPr>
            <w:tcW w:w="1420" w:type="dxa"/>
            <w:vMerge w:val="continue"/>
            <w:tcBorders>
              <w:bottom w:val="single" w:color="000000" w:sz="12" w:space="0"/>
            </w:tcBorders>
            <w:vAlign w:val="center"/>
          </w:tcPr>
          <w:p>
            <w:pPr>
              <w:widowControl/>
              <w:jc w:val="center"/>
              <w:textAlignment w:val="bottom"/>
              <w:rPr>
                <w:rFonts w:ascii="宋体" w:hAnsi="宋体" w:eastAsia="宋体" w:cs="宋体"/>
                <w:color w:val="000000" w:themeColor="text1"/>
                <w:szCs w:val="21"/>
              </w:rPr>
            </w:pPr>
          </w:p>
        </w:tc>
        <w:tc>
          <w:tcPr>
            <w:tcW w:w="1421" w:type="dxa"/>
            <w:vMerge w:val="continue"/>
            <w:tcBorders>
              <w:bottom w:val="single" w:color="000000" w:sz="12" w:space="0"/>
            </w:tcBorders>
            <w:vAlign w:val="center"/>
          </w:tcPr>
          <w:p>
            <w:pPr>
              <w:widowControl/>
              <w:jc w:val="center"/>
              <w:rPr>
                <w:rFonts w:ascii="宋体" w:hAnsi="宋体" w:eastAsia="宋体" w:cs="宋体"/>
                <w:color w:val="000000" w:themeColor="text1"/>
                <w:szCs w:val="21"/>
              </w:rPr>
            </w:pPr>
          </w:p>
        </w:tc>
        <w:tc>
          <w:tcPr>
            <w:tcW w:w="1421" w:type="dxa"/>
            <w:vMerge w:val="continue"/>
            <w:tcBorders>
              <w:bottom w:val="single" w:color="000000" w:sz="12" w:space="0"/>
              <w:right w:val="nil"/>
            </w:tcBorders>
            <w:vAlign w:val="center"/>
          </w:tcPr>
          <w:p>
            <w:pPr>
              <w:widowControl/>
              <w:jc w:val="center"/>
              <w:rPr>
                <w:rFonts w:ascii="宋体" w:hAnsi="宋体" w:eastAsia="宋体" w:cs="宋体"/>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1" w:type="dxa"/>
            <w:tcBorders>
              <w:top w:val="single" w:color="auto" w:sz="12" w:space="0"/>
              <w:left w:val="nil"/>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商服用地</w:t>
            </w:r>
          </w:p>
        </w:tc>
        <w:tc>
          <w:tcPr>
            <w:tcW w:w="1524" w:type="dxa"/>
            <w:tcBorders>
              <w:top w:val="single" w:color="auto" w:sz="12" w:space="0"/>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其他商服用地</w:t>
            </w:r>
          </w:p>
        </w:tc>
        <w:tc>
          <w:tcPr>
            <w:tcW w:w="1175" w:type="dxa"/>
            <w:tcBorders>
              <w:top w:val="single" w:color="000000" w:sz="12" w:space="0"/>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71.93</w:t>
            </w:r>
          </w:p>
        </w:tc>
        <w:tc>
          <w:tcPr>
            <w:tcW w:w="1420" w:type="dxa"/>
            <w:tcBorders>
              <w:top w:val="single" w:color="000000" w:sz="12" w:space="0"/>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17.39</w:t>
            </w:r>
          </w:p>
        </w:tc>
        <w:tc>
          <w:tcPr>
            <w:tcW w:w="1421" w:type="dxa"/>
            <w:tcBorders>
              <w:top w:val="single" w:color="000000" w:sz="12" w:space="0"/>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1.36</w:t>
            </w:r>
          </w:p>
        </w:tc>
        <w:tc>
          <w:tcPr>
            <w:tcW w:w="1421" w:type="dxa"/>
            <w:tcBorders>
              <w:top w:val="single" w:color="000000" w:sz="12" w:space="0"/>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23.9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1" w:type="dxa"/>
            <w:tcBorders>
              <w:left w:val="nil"/>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交通运输用地</w:t>
            </w:r>
          </w:p>
        </w:tc>
        <w:tc>
          <w:tcPr>
            <w:tcW w:w="1524"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公路用地</w:t>
            </w:r>
          </w:p>
        </w:tc>
        <w:tc>
          <w:tcPr>
            <w:tcW w:w="1175"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2.23</w:t>
            </w:r>
          </w:p>
        </w:tc>
        <w:tc>
          <w:tcPr>
            <w:tcW w:w="1420"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0.54</w:t>
            </w:r>
          </w:p>
        </w:tc>
        <w:tc>
          <w:tcPr>
            <w:tcW w:w="1421"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421" w:type="dxa"/>
            <w:tcBorders>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1" w:type="dxa"/>
            <w:vMerge w:val="restart"/>
            <w:tcBorders>
              <w:left w:val="nil"/>
            </w:tcBorders>
            <w:vAlign w:val="center"/>
          </w:tcPr>
          <w:p>
            <w:pPr>
              <w:widowControl/>
              <w:jc w:val="center"/>
              <w:textAlignment w:val="center"/>
              <w:rPr>
                <w:rFonts w:ascii="宋体" w:hAnsi="宋体" w:eastAsia="宋体" w:cs="宋体"/>
                <w:color w:val="000000" w:themeColor="text1"/>
                <w:szCs w:val="21"/>
              </w:rPr>
            </w:pPr>
            <w:r>
              <w:rPr>
                <w:rFonts w:hint="eastAsia" w:ascii="宋体" w:hAnsi="宋体" w:eastAsia="宋体" w:cs="宋体"/>
                <w:color w:val="000000"/>
                <w:kern w:val="0"/>
                <w:szCs w:val="21"/>
              </w:rPr>
              <w:t>林地</w:t>
            </w:r>
          </w:p>
        </w:tc>
        <w:tc>
          <w:tcPr>
            <w:tcW w:w="1524"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灌木林地</w:t>
            </w:r>
          </w:p>
        </w:tc>
        <w:tc>
          <w:tcPr>
            <w:tcW w:w="1175"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42.73</w:t>
            </w:r>
          </w:p>
        </w:tc>
        <w:tc>
          <w:tcPr>
            <w:tcW w:w="1420"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10.33</w:t>
            </w:r>
          </w:p>
        </w:tc>
        <w:tc>
          <w:tcPr>
            <w:tcW w:w="1421"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421" w:type="dxa"/>
            <w:tcBorders>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1" w:type="dxa"/>
            <w:vMerge w:val="continue"/>
            <w:tcBorders>
              <w:left w:val="nil"/>
            </w:tcBorders>
            <w:vAlign w:val="center"/>
          </w:tcPr>
          <w:p>
            <w:pPr>
              <w:jc w:val="center"/>
              <w:rPr>
                <w:rFonts w:ascii="宋体" w:hAnsi="宋体" w:eastAsia="宋体" w:cs="宋体"/>
                <w:color w:val="000000" w:themeColor="text1"/>
                <w:szCs w:val="21"/>
              </w:rPr>
            </w:pPr>
          </w:p>
        </w:tc>
        <w:tc>
          <w:tcPr>
            <w:tcW w:w="1524"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乔木林地</w:t>
            </w:r>
          </w:p>
        </w:tc>
        <w:tc>
          <w:tcPr>
            <w:tcW w:w="1175"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231.68</w:t>
            </w:r>
          </w:p>
        </w:tc>
        <w:tc>
          <w:tcPr>
            <w:tcW w:w="1420"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56.02</w:t>
            </w:r>
          </w:p>
        </w:tc>
        <w:tc>
          <w:tcPr>
            <w:tcW w:w="1421"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421" w:type="dxa"/>
            <w:tcBorders>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1" w:type="dxa"/>
            <w:vMerge w:val="restart"/>
            <w:tcBorders>
              <w:left w:val="nil"/>
            </w:tcBorders>
            <w:vAlign w:val="center"/>
          </w:tcPr>
          <w:p>
            <w:pPr>
              <w:widowControl/>
              <w:jc w:val="center"/>
              <w:textAlignment w:val="center"/>
              <w:rPr>
                <w:rFonts w:ascii="宋体" w:hAnsi="宋体" w:eastAsia="宋体" w:cs="宋体"/>
                <w:color w:val="000000" w:themeColor="text1"/>
                <w:szCs w:val="21"/>
              </w:rPr>
            </w:pPr>
            <w:r>
              <w:rPr>
                <w:rFonts w:hint="eastAsia" w:ascii="宋体" w:hAnsi="宋体" w:eastAsia="宋体" w:cs="宋体"/>
                <w:color w:val="000000"/>
                <w:kern w:val="0"/>
                <w:szCs w:val="21"/>
              </w:rPr>
              <w:t>草地</w:t>
            </w:r>
          </w:p>
        </w:tc>
        <w:tc>
          <w:tcPr>
            <w:tcW w:w="1524"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天然牧草地</w:t>
            </w:r>
          </w:p>
        </w:tc>
        <w:tc>
          <w:tcPr>
            <w:tcW w:w="1175"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21.85</w:t>
            </w:r>
          </w:p>
        </w:tc>
        <w:tc>
          <w:tcPr>
            <w:tcW w:w="1420"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5.28</w:t>
            </w:r>
          </w:p>
        </w:tc>
        <w:tc>
          <w:tcPr>
            <w:tcW w:w="1421"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421" w:type="dxa"/>
            <w:tcBorders>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1" w:type="dxa"/>
            <w:vMerge w:val="continue"/>
            <w:tcBorders>
              <w:left w:val="nil"/>
            </w:tcBorders>
            <w:vAlign w:val="center"/>
          </w:tcPr>
          <w:p>
            <w:pPr>
              <w:jc w:val="center"/>
              <w:rPr>
                <w:rFonts w:ascii="宋体" w:hAnsi="宋体" w:eastAsia="宋体" w:cs="宋体"/>
                <w:color w:val="000000" w:themeColor="text1"/>
                <w:szCs w:val="21"/>
              </w:rPr>
            </w:pPr>
          </w:p>
        </w:tc>
        <w:tc>
          <w:tcPr>
            <w:tcW w:w="1524"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其他草地</w:t>
            </w:r>
          </w:p>
        </w:tc>
        <w:tc>
          <w:tcPr>
            <w:tcW w:w="1175"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14.89</w:t>
            </w:r>
          </w:p>
        </w:tc>
        <w:tc>
          <w:tcPr>
            <w:tcW w:w="1420"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3.60</w:t>
            </w:r>
          </w:p>
        </w:tc>
        <w:tc>
          <w:tcPr>
            <w:tcW w:w="1421"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421" w:type="dxa"/>
            <w:tcBorders>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1" w:type="dxa"/>
            <w:tcBorders>
              <w:left w:val="nil"/>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耕地</w:t>
            </w:r>
          </w:p>
        </w:tc>
        <w:tc>
          <w:tcPr>
            <w:tcW w:w="1524"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旱地</w:t>
            </w:r>
          </w:p>
        </w:tc>
        <w:tc>
          <w:tcPr>
            <w:tcW w:w="1175"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13.72</w:t>
            </w:r>
          </w:p>
        </w:tc>
        <w:tc>
          <w:tcPr>
            <w:tcW w:w="1420"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3.32</w:t>
            </w:r>
          </w:p>
        </w:tc>
        <w:tc>
          <w:tcPr>
            <w:tcW w:w="1421"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421" w:type="dxa"/>
            <w:tcBorders>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1" w:type="dxa"/>
            <w:tcBorders>
              <w:left w:val="nil"/>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水域及水利设施用地</w:t>
            </w:r>
          </w:p>
        </w:tc>
        <w:tc>
          <w:tcPr>
            <w:tcW w:w="1524"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坑塘水面</w:t>
            </w:r>
          </w:p>
        </w:tc>
        <w:tc>
          <w:tcPr>
            <w:tcW w:w="1175"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10.29</w:t>
            </w:r>
          </w:p>
        </w:tc>
        <w:tc>
          <w:tcPr>
            <w:tcW w:w="1420" w:type="dxa"/>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2.49</w:t>
            </w:r>
          </w:p>
        </w:tc>
        <w:tc>
          <w:tcPr>
            <w:tcW w:w="1421"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421" w:type="dxa"/>
            <w:tcBorders>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1" w:type="dxa"/>
            <w:tcBorders>
              <w:left w:val="nil"/>
              <w:bottom w:val="single" w:color="auto" w:sz="12" w:space="0"/>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其他用地</w:t>
            </w:r>
          </w:p>
        </w:tc>
        <w:tc>
          <w:tcPr>
            <w:tcW w:w="1524" w:type="dxa"/>
            <w:tcBorders>
              <w:bottom w:val="single" w:color="auto" w:sz="12" w:space="0"/>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裸土地</w:t>
            </w:r>
          </w:p>
        </w:tc>
        <w:tc>
          <w:tcPr>
            <w:tcW w:w="1175" w:type="dxa"/>
            <w:tcBorders>
              <w:bottom w:val="single" w:color="auto" w:sz="12" w:space="0"/>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4.21</w:t>
            </w:r>
          </w:p>
        </w:tc>
        <w:tc>
          <w:tcPr>
            <w:tcW w:w="1420" w:type="dxa"/>
            <w:tcBorders>
              <w:bottom w:val="single" w:color="auto" w:sz="12" w:space="0"/>
            </w:tcBorders>
            <w:vAlign w:val="center"/>
          </w:tcPr>
          <w:p>
            <w:pPr>
              <w:widowControl/>
              <w:jc w:val="center"/>
              <w:textAlignment w:val="bottom"/>
              <w:rPr>
                <w:rFonts w:ascii="宋体" w:hAnsi="宋体" w:eastAsia="宋体" w:cs="宋体"/>
                <w:color w:val="000000" w:themeColor="text1"/>
                <w:szCs w:val="21"/>
              </w:rPr>
            </w:pPr>
            <w:r>
              <w:rPr>
                <w:rFonts w:hint="eastAsia" w:ascii="宋体" w:hAnsi="宋体" w:eastAsia="宋体" w:cs="宋体"/>
                <w:color w:val="000000"/>
                <w:kern w:val="0"/>
                <w:szCs w:val="21"/>
              </w:rPr>
              <w:t>1.02</w:t>
            </w:r>
          </w:p>
        </w:tc>
        <w:tc>
          <w:tcPr>
            <w:tcW w:w="1421" w:type="dxa"/>
            <w:tcBorders>
              <w:bottom w:val="single" w:color="auto" w:sz="12" w:space="0"/>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4.34</w:t>
            </w:r>
          </w:p>
        </w:tc>
        <w:tc>
          <w:tcPr>
            <w:tcW w:w="1421" w:type="dxa"/>
            <w:tcBorders>
              <w:bottom w:val="single" w:color="auto" w:sz="12" w:space="0"/>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76.1</w:t>
            </w:r>
          </w:p>
        </w:tc>
      </w:tr>
    </w:tbl>
    <w:p>
      <w:pPr>
        <w:widowControl/>
        <w:jc w:val="left"/>
        <w:rPr>
          <w:rFonts w:ascii="宋体" w:hAnsi="宋体" w:eastAsia="宋体" w:cs="宋体"/>
          <w:color w:val="000000" w:themeColor="text1"/>
          <w:sz w:val="15"/>
          <w:szCs w:val="15"/>
        </w:rPr>
      </w:pPr>
    </w:p>
    <w:p>
      <w:pPr>
        <w:spacing w:line="360" w:lineRule="auto"/>
        <w:rPr>
          <w:rFonts w:ascii="宋体" w:hAnsi="宋体" w:eastAsia="宋体" w:cs="宋体"/>
          <w:b/>
          <w:bCs/>
          <w:color w:val="000000" w:themeColor="text1"/>
          <w:sz w:val="28"/>
          <w:szCs w:val="28"/>
        </w:rPr>
      </w:pPr>
    </w:p>
    <w:p>
      <w:pPr>
        <w:spacing w:line="360" w:lineRule="auto"/>
        <w:rPr>
          <w:rFonts w:ascii="宋体" w:hAnsi="宋体" w:eastAsia="宋体" w:cs="宋体"/>
          <w:b/>
          <w:bCs/>
          <w:color w:val="000000" w:themeColor="text1"/>
          <w:sz w:val="28"/>
          <w:szCs w:val="28"/>
        </w:rPr>
      </w:pPr>
    </w:p>
    <w:p>
      <w:pPr>
        <w:spacing w:line="360" w:lineRule="auto"/>
        <w:rPr>
          <w:rFonts w:ascii="宋体" w:hAnsi="宋体" w:eastAsia="宋体" w:cs="宋体"/>
          <w:b/>
          <w:bCs/>
          <w:color w:val="000000" w:themeColor="text1"/>
          <w:sz w:val="28"/>
          <w:szCs w:val="28"/>
        </w:rPr>
      </w:pPr>
      <w:r>
        <w:rPr>
          <w:rFonts w:hint="eastAsia" w:ascii="宋体" w:hAnsi="宋体" w:eastAsia="宋体" w:cs="宋体"/>
          <w:b/>
          <w:bCs/>
          <w:color w:val="000000" w:themeColor="text1"/>
          <w:sz w:val="28"/>
          <w:szCs w:val="28"/>
        </w:rPr>
        <w:t>6.3.3植被类型调查</w:t>
      </w:r>
    </w:p>
    <w:p>
      <w:pPr>
        <w:widowControl/>
        <w:jc w:val="left"/>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 xml:space="preserve">   植被类型图见图6.4。项目建设前地表裸露，有零星草地和乔木分布。</w:t>
      </w:r>
    </w:p>
    <w:p>
      <w:pPr>
        <w:widowControl/>
        <w:jc w:val="left"/>
      </w:pPr>
      <w:r>
        <w:rPr>
          <w:rFonts w:ascii="宋体" w:hAnsi="宋体" w:eastAsia="宋体" w:cs="宋体"/>
          <w:kern w:val="0"/>
          <w:sz w:val="24"/>
        </w:rPr>
        <w:drawing>
          <wp:inline distT="0" distB="0" distL="114300" distR="114300">
            <wp:extent cx="2546985" cy="1837055"/>
            <wp:effectExtent l="0" t="0" r="13335" b="6985"/>
            <wp:docPr id="1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IMG_256"/>
                    <pic:cNvPicPr>
                      <a:picLocks noChangeAspect="1"/>
                    </pic:cNvPicPr>
                  </pic:nvPicPr>
                  <pic:blipFill>
                    <a:blip r:embed="rId26"/>
                    <a:stretch>
                      <a:fillRect/>
                    </a:stretch>
                  </pic:blipFill>
                  <pic:spPr>
                    <a:xfrm>
                      <a:off x="0" y="0"/>
                      <a:ext cx="2546985" cy="1837055"/>
                    </a:xfrm>
                    <a:prstGeom prst="rect">
                      <a:avLst/>
                    </a:prstGeom>
                    <a:noFill/>
                    <a:ln w="9525">
                      <a:noFill/>
                    </a:ln>
                  </pic:spPr>
                </pic:pic>
              </a:graphicData>
            </a:graphic>
          </wp:inline>
        </w:drawing>
      </w:r>
      <w:r>
        <w:rPr>
          <w:rFonts w:ascii="宋体" w:hAnsi="宋体" w:eastAsia="宋体" w:cs="宋体"/>
          <w:kern w:val="0"/>
          <w:sz w:val="24"/>
        </w:rPr>
        <w:drawing>
          <wp:inline distT="0" distB="0" distL="114300" distR="114300">
            <wp:extent cx="2511425" cy="1821815"/>
            <wp:effectExtent l="0" t="0" r="3175" b="6985"/>
            <wp:docPr id="1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IMG_256"/>
                    <pic:cNvPicPr>
                      <a:picLocks noChangeAspect="1"/>
                    </pic:cNvPicPr>
                  </pic:nvPicPr>
                  <pic:blipFill>
                    <a:blip r:embed="rId27"/>
                    <a:stretch>
                      <a:fillRect/>
                    </a:stretch>
                  </pic:blipFill>
                  <pic:spPr>
                    <a:xfrm>
                      <a:off x="0" y="0"/>
                      <a:ext cx="2511425" cy="1821815"/>
                    </a:xfrm>
                    <a:prstGeom prst="rect">
                      <a:avLst/>
                    </a:prstGeom>
                    <a:noFill/>
                    <a:ln w="9525">
                      <a:noFill/>
                    </a:ln>
                  </pic:spPr>
                </pic:pic>
              </a:graphicData>
            </a:graphic>
          </wp:inline>
        </w:drawing>
      </w:r>
    </w:p>
    <w:p>
      <w:pPr>
        <w:widowControl/>
        <w:jc w:val="center"/>
        <w:rPr>
          <w:b/>
          <w:bCs/>
        </w:rPr>
      </w:pPr>
      <w:r>
        <w:rPr>
          <w:rFonts w:hint="eastAsia"/>
          <w:b/>
          <w:bCs/>
        </w:rPr>
        <w:t>产权式酒店施工前原始地貌</w:t>
      </w:r>
    </w:p>
    <w:p>
      <w:pPr>
        <w:widowControl/>
        <w:jc w:val="left"/>
        <w:rPr>
          <w:rFonts w:ascii="宋体" w:hAnsi="宋体" w:eastAsia="宋体" w:cs="宋体"/>
          <w:kern w:val="0"/>
          <w:sz w:val="24"/>
        </w:rPr>
      </w:pPr>
      <w:r>
        <w:rPr>
          <w:rFonts w:hint="eastAsia" w:ascii="宋体" w:hAnsi="宋体" w:eastAsia="宋体" w:cs="宋体"/>
          <w:color w:val="000000" w:themeColor="text1"/>
          <w:sz w:val="28"/>
          <w:szCs w:val="28"/>
        </w:rPr>
        <w:drawing>
          <wp:inline distT="0" distB="0" distL="114300" distR="114300">
            <wp:extent cx="0" cy="0"/>
            <wp:effectExtent l="0" t="0" r="0" b="0"/>
            <wp:docPr id="23" name="图片 23" descr="侵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侵蚀"/>
                    <pic:cNvPicPr>
                      <a:picLocks noChangeAspect="1"/>
                    </pic:cNvPicPr>
                  </pic:nvPicPr>
                  <pic:blipFill>
                    <a:blip r:embed="rId47"/>
                    <a:stretch>
                      <a:fillRect/>
                    </a:stretch>
                  </pic:blipFill>
                  <pic:spPr>
                    <a:xfrm>
                      <a:off x="0" y="0"/>
                      <a:ext cx="0" cy="0"/>
                    </a:xfrm>
                    <a:prstGeom prst="rect">
                      <a:avLst/>
                    </a:prstGeom>
                  </pic:spPr>
                </pic:pic>
              </a:graphicData>
            </a:graphic>
          </wp:inline>
        </w:drawing>
      </w:r>
    </w:p>
    <w:p>
      <w:pPr>
        <w:widowControl/>
        <w:jc w:val="left"/>
      </w:pPr>
      <w:r>
        <w:rPr>
          <w:rFonts w:ascii="宋体" w:hAnsi="宋体" w:eastAsia="宋体" w:cs="宋体"/>
          <w:kern w:val="0"/>
          <w:sz w:val="24"/>
        </w:rPr>
        <w:drawing>
          <wp:inline distT="0" distB="0" distL="114300" distR="114300">
            <wp:extent cx="5279390" cy="3726815"/>
            <wp:effectExtent l="0" t="0" r="8890" b="6985"/>
            <wp:docPr id="2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IMG_256"/>
                    <pic:cNvPicPr>
                      <a:picLocks noChangeAspect="1"/>
                    </pic:cNvPicPr>
                  </pic:nvPicPr>
                  <pic:blipFill>
                    <a:blip r:embed="rId48"/>
                    <a:stretch>
                      <a:fillRect/>
                    </a:stretch>
                  </pic:blipFill>
                  <pic:spPr>
                    <a:xfrm>
                      <a:off x="0" y="0"/>
                      <a:ext cx="5279390" cy="3726815"/>
                    </a:xfrm>
                    <a:prstGeom prst="rect">
                      <a:avLst/>
                    </a:prstGeom>
                    <a:noFill/>
                    <a:ln w="9525">
                      <a:noFill/>
                    </a:ln>
                  </pic:spPr>
                </pic:pic>
              </a:graphicData>
            </a:graphic>
          </wp:inline>
        </w:drawing>
      </w:r>
    </w:p>
    <w:p>
      <w:pPr>
        <w:spacing w:line="360" w:lineRule="auto"/>
        <w:jc w:val="center"/>
        <w:rPr>
          <w:rFonts w:ascii="宋体" w:hAnsi="宋体" w:eastAsia="宋体" w:cs="宋体"/>
          <w:kern w:val="0"/>
          <w:sz w:val="24"/>
        </w:rPr>
      </w:pPr>
      <w:r>
        <w:rPr>
          <w:rFonts w:hint="eastAsia" w:ascii="宋体" w:hAnsi="宋体" w:eastAsia="宋体" w:cs="宋体"/>
          <w:b/>
          <w:bCs/>
          <w:color w:val="000000" w:themeColor="text1"/>
          <w:szCs w:val="21"/>
        </w:rPr>
        <w:t>图6.4 植被类型图</w:t>
      </w:r>
    </w:p>
    <w:p>
      <w:pPr>
        <w:spacing w:line="360" w:lineRule="auto"/>
        <w:rPr>
          <w:rFonts w:ascii="宋体" w:hAnsi="宋体" w:eastAsia="宋体" w:cs="宋体"/>
          <w:b/>
          <w:bCs/>
          <w:color w:val="000000" w:themeColor="text1"/>
          <w:szCs w:val="21"/>
        </w:rPr>
      </w:pPr>
      <w:r>
        <w:rPr>
          <w:rFonts w:hint="eastAsia" w:ascii="宋体" w:hAnsi="宋体" w:eastAsia="宋体" w:cs="宋体"/>
          <w:color w:val="000000" w:themeColor="text1"/>
          <w:sz w:val="28"/>
          <w:szCs w:val="28"/>
        </w:rPr>
        <w:t xml:space="preserve">   根据遥感调查分析，项目区植被类型情况见表6-2。</w:t>
      </w:r>
    </w:p>
    <w:p>
      <w:pPr>
        <w:widowControl/>
        <w:ind w:firstLine="422" w:firstLineChars="200"/>
        <w:jc w:val="center"/>
        <w:rPr>
          <w:rFonts w:ascii="宋体" w:hAnsi="宋体" w:eastAsia="宋体" w:cs="宋体"/>
          <w:b/>
          <w:bCs/>
          <w:color w:val="000000" w:themeColor="text1"/>
          <w:szCs w:val="21"/>
        </w:rPr>
      </w:pPr>
    </w:p>
    <w:p>
      <w:pPr>
        <w:widowControl/>
        <w:ind w:firstLine="422" w:firstLineChars="200"/>
        <w:jc w:val="center"/>
        <w:rPr>
          <w:rFonts w:ascii="宋体" w:hAnsi="宋体" w:eastAsia="宋体" w:cs="宋体"/>
          <w:b/>
          <w:bCs/>
          <w:color w:val="000000" w:themeColor="text1"/>
          <w:szCs w:val="21"/>
        </w:rPr>
      </w:pPr>
    </w:p>
    <w:p>
      <w:pPr>
        <w:widowControl/>
        <w:ind w:firstLine="422" w:firstLineChars="200"/>
        <w:jc w:val="center"/>
        <w:rPr>
          <w:rFonts w:ascii="宋体" w:hAnsi="宋体" w:eastAsia="宋体" w:cs="宋体"/>
          <w:b/>
          <w:bCs/>
          <w:color w:val="000000" w:themeColor="text1"/>
          <w:szCs w:val="21"/>
        </w:rPr>
      </w:pPr>
    </w:p>
    <w:p>
      <w:pPr>
        <w:widowControl/>
        <w:ind w:firstLine="422" w:firstLineChars="200"/>
        <w:jc w:val="center"/>
        <w:rPr>
          <w:rFonts w:ascii="宋体" w:hAnsi="宋体" w:eastAsia="宋体" w:cs="宋体"/>
          <w:b/>
          <w:bCs/>
          <w:color w:val="000000" w:themeColor="text1"/>
          <w:szCs w:val="21"/>
        </w:rPr>
      </w:pPr>
    </w:p>
    <w:p>
      <w:pPr>
        <w:widowControl/>
        <w:ind w:firstLine="422" w:firstLineChars="200"/>
        <w:jc w:val="center"/>
        <w:rPr>
          <w:rFonts w:ascii="宋体" w:hAnsi="宋体" w:eastAsia="宋体" w:cs="宋体"/>
          <w:b/>
          <w:bCs/>
          <w:color w:val="000000" w:themeColor="text1"/>
          <w:szCs w:val="21"/>
        </w:rPr>
      </w:pPr>
      <w:r>
        <w:rPr>
          <w:rFonts w:hint="eastAsia" w:ascii="宋体" w:hAnsi="宋体" w:eastAsia="宋体" w:cs="宋体"/>
          <w:b/>
          <w:bCs/>
          <w:color w:val="000000" w:themeColor="text1"/>
          <w:szCs w:val="21"/>
        </w:rPr>
        <w:t>表6-2  植被类型统计表</w:t>
      </w:r>
    </w:p>
    <w:tbl>
      <w:tblPr>
        <w:tblStyle w:val="12"/>
        <w:tblW w:w="85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3"/>
        <w:gridCol w:w="908"/>
        <w:gridCol w:w="1164"/>
        <w:gridCol w:w="1008"/>
        <w:gridCol w:w="1344"/>
        <w:gridCol w:w="1504"/>
        <w:gridCol w:w="11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top w:val="single" w:color="auto" w:sz="12" w:space="0"/>
              <w:left w:val="nil"/>
              <w:bottom w:val="single" w:color="auto" w:sz="12" w:space="0"/>
            </w:tcBorders>
            <w:vAlign w:val="center"/>
          </w:tcPr>
          <w:p>
            <w:pPr>
              <w:widowControl/>
              <w:jc w:val="center"/>
              <w:rPr>
                <w:rFonts w:ascii="宋体" w:hAnsi="宋体" w:eastAsia="宋体" w:cs="宋体"/>
                <w:b/>
                <w:bCs/>
                <w:color w:val="000000" w:themeColor="text1"/>
                <w:szCs w:val="21"/>
              </w:rPr>
            </w:pPr>
            <w:r>
              <w:rPr>
                <w:rFonts w:hint="eastAsia" w:ascii="宋体" w:hAnsi="宋体" w:eastAsia="宋体" w:cs="宋体"/>
                <w:color w:val="000000" w:themeColor="text1"/>
                <w:szCs w:val="21"/>
              </w:rPr>
              <w:t>植被类型</w:t>
            </w:r>
          </w:p>
        </w:tc>
        <w:tc>
          <w:tcPr>
            <w:tcW w:w="908" w:type="dxa"/>
            <w:tcBorders>
              <w:top w:val="single" w:color="auto" w:sz="12" w:space="0"/>
              <w:bottom w:val="single" w:color="auto" w:sz="12" w:space="0"/>
            </w:tcBorders>
            <w:vAlign w:val="center"/>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Cs w:val="21"/>
              </w:rPr>
              <w:t>斑块数</w:t>
            </w:r>
          </w:p>
        </w:tc>
        <w:tc>
          <w:tcPr>
            <w:tcW w:w="1164" w:type="dxa"/>
            <w:tcBorders>
              <w:top w:val="single" w:color="auto" w:sz="12" w:space="0"/>
              <w:bottom w:val="single" w:color="auto" w:sz="12" w:space="0"/>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斑块面积</w:t>
            </w:r>
            <w:r>
              <w:rPr>
                <w:rFonts w:hint="eastAsia" w:ascii="宋体" w:hAnsi="宋体" w:eastAsia="宋体" w:cs="宋体"/>
                <w:color w:val="000000" w:themeColor="text1"/>
                <w:szCs w:val="21"/>
              </w:rPr>
              <w:t>（hm</w:t>
            </w:r>
            <w:r>
              <w:rPr>
                <w:rFonts w:hint="eastAsia" w:ascii="宋体" w:hAnsi="宋体" w:eastAsia="宋体" w:cs="宋体"/>
                <w:color w:val="000000" w:themeColor="text1"/>
                <w:szCs w:val="21"/>
                <w:vertAlign w:val="superscript"/>
              </w:rPr>
              <w:t>2</w:t>
            </w:r>
            <w:r>
              <w:rPr>
                <w:rFonts w:hint="eastAsia" w:ascii="宋体" w:hAnsi="宋体" w:eastAsia="宋体" w:cs="宋体"/>
                <w:color w:val="000000" w:themeColor="text1"/>
                <w:szCs w:val="21"/>
              </w:rPr>
              <w:t>）</w:t>
            </w:r>
          </w:p>
        </w:tc>
        <w:tc>
          <w:tcPr>
            <w:tcW w:w="1008" w:type="dxa"/>
            <w:tcBorders>
              <w:top w:val="single" w:color="auto" w:sz="12" w:space="0"/>
              <w:bottom w:val="single" w:color="auto" w:sz="12" w:space="0"/>
            </w:tcBorders>
            <w:vAlign w:val="center"/>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百分比%</w:t>
            </w:r>
          </w:p>
        </w:tc>
        <w:tc>
          <w:tcPr>
            <w:tcW w:w="1344" w:type="dxa"/>
            <w:tcBorders>
              <w:top w:val="single" w:color="auto" w:sz="12" w:space="0"/>
              <w:bottom w:val="single" w:color="auto" w:sz="12" w:space="0"/>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kern w:val="0"/>
                <w:szCs w:val="21"/>
              </w:rPr>
              <w:t>斑块数</w:t>
            </w:r>
          </w:p>
        </w:tc>
        <w:tc>
          <w:tcPr>
            <w:tcW w:w="1504" w:type="dxa"/>
            <w:tcBorders>
              <w:top w:val="single" w:color="auto" w:sz="12" w:space="0"/>
              <w:bottom w:val="single" w:color="auto" w:sz="12" w:space="0"/>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项目区面积</w:t>
            </w:r>
          </w:p>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（hm</w:t>
            </w:r>
            <w:r>
              <w:rPr>
                <w:rFonts w:hint="eastAsia" w:ascii="宋体" w:hAnsi="宋体" w:eastAsia="宋体" w:cs="宋体"/>
                <w:color w:val="000000" w:themeColor="text1"/>
                <w:szCs w:val="21"/>
                <w:vertAlign w:val="superscript"/>
              </w:rPr>
              <w:t>2</w:t>
            </w:r>
            <w:r>
              <w:rPr>
                <w:rFonts w:hint="eastAsia" w:ascii="宋体" w:hAnsi="宋体" w:eastAsia="宋体" w:cs="宋体"/>
                <w:color w:val="000000" w:themeColor="text1"/>
                <w:szCs w:val="21"/>
              </w:rPr>
              <w:t>）</w:t>
            </w:r>
          </w:p>
        </w:tc>
        <w:tc>
          <w:tcPr>
            <w:tcW w:w="1165" w:type="dxa"/>
            <w:tcBorders>
              <w:top w:val="single" w:color="auto" w:sz="12" w:space="0"/>
              <w:bottom w:val="single" w:color="auto" w:sz="12" w:space="0"/>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百分比</w:t>
            </w:r>
            <w:r>
              <w:rPr>
                <w:rFonts w:hint="eastAsia" w:ascii="宋体" w:hAnsi="宋体" w:eastAsia="宋体" w:cs="宋体"/>
                <w:color w:val="000000"/>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top w:val="single" w:color="auto" w:sz="12" w:space="0"/>
              <w:left w:val="nil"/>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山杨、白桦林</w:t>
            </w:r>
          </w:p>
        </w:tc>
        <w:tc>
          <w:tcPr>
            <w:tcW w:w="908" w:type="dxa"/>
            <w:tcBorders>
              <w:top w:val="single" w:color="auto" w:sz="12" w:space="0"/>
            </w:tcBorders>
            <w:vAlign w:val="bottom"/>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 w:val="22"/>
                <w:szCs w:val="22"/>
              </w:rPr>
              <w:t>5</w:t>
            </w:r>
          </w:p>
        </w:tc>
        <w:tc>
          <w:tcPr>
            <w:tcW w:w="1164" w:type="dxa"/>
            <w:tcBorders>
              <w:top w:val="single" w:color="auto" w:sz="12" w:space="0"/>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116.45 </w:t>
            </w:r>
          </w:p>
        </w:tc>
        <w:tc>
          <w:tcPr>
            <w:tcW w:w="1008" w:type="dxa"/>
            <w:tcBorders>
              <w:top w:val="single" w:color="auto" w:sz="12" w:space="0"/>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28.16 </w:t>
            </w:r>
          </w:p>
        </w:tc>
        <w:tc>
          <w:tcPr>
            <w:tcW w:w="1344" w:type="dxa"/>
            <w:tcBorders>
              <w:top w:val="single" w:color="auto" w:sz="12" w:space="0"/>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504" w:type="dxa"/>
            <w:tcBorders>
              <w:top w:val="single" w:color="auto" w:sz="12" w:space="0"/>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165" w:type="dxa"/>
            <w:tcBorders>
              <w:top w:val="single" w:color="auto" w:sz="12" w:space="0"/>
              <w:right w:val="nil"/>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left w:val="nil"/>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油松林</w:t>
            </w:r>
          </w:p>
        </w:tc>
        <w:tc>
          <w:tcPr>
            <w:tcW w:w="908" w:type="dxa"/>
            <w:vAlign w:val="bottom"/>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 w:val="22"/>
                <w:szCs w:val="22"/>
              </w:rPr>
              <w:t>5</w:t>
            </w:r>
          </w:p>
        </w:tc>
        <w:tc>
          <w:tcPr>
            <w:tcW w:w="1164"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60.70 </w:t>
            </w:r>
          </w:p>
        </w:tc>
        <w:tc>
          <w:tcPr>
            <w:tcW w:w="1008"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14.68 </w:t>
            </w:r>
          </w:p>
        </w:tc>
        <w:tc>
          <w:tcPr>
            <w:tcW w:w="134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50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165" w:type="dxa"/>
            <w:tcBorders>
              <w:right w:val="nil"/>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left w:val="nil"/>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山杨林</w:t>
            </w:r>
          </w:p>
        </w:tc>
        <w:tc>
          <w:tcPr>
            <w:tcW w:w="908" w:type="dxa"/>
            <w:vAlign w:val="bottom"/>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 w:val="22"/>
                <w:szCs w:val="22"/>
              </w:rPr>
              <w:t>3</w:t>
            </w:r>
          </w:p>
        </w:tc>
        <w:tc>
          <w:tcPr>
            <w:tcW w:w="1164"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0.00 </w:t>
            </w:r>
          </w:p>
        </w:tc>
        <w:tc>
          <w:tcPr>
            <w:tcW w:w="1008"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0.00 </w:t>
            </w:r>
          </w:p>
        </w:tc>
        <w:tc>
          <w:tcPr>
            <w:tcW w:w="134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50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165" w:type="dxa"/>
            <w:tcBorders>
              <w:right w:val="nil"/>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left w:val="nil"/>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虎榛子灌丛</w:t>
            </w:r>
          </w:p>
        </w:tc>
        <w:tc>
          <w:tcPr>
            <w:tcW w:w="908" w:type="dxa"/>
            <w:vAlign w:val="bottom"/>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 w:val="22"/>
                <w:szCs w:val="22"/>
              </w:rPr>
              <w:t>9</w:t>
            </w:r>
          </w:p>
        </w:tc>
        <w:tc>
          <w:tcPr>
            <w:tcW w:w="1164"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32.01 </w:t>
            </w:r>
          </w:p>
        </w:tc>
        <w:tc>
          <w:tcPr>
            <w:tcW w:w="1008"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7.74 </w:t>
            </w:r>
          </w:p>
        </w:tc>
        <w:tc>
          <w:tcPr>
            <w:tcW w:w="134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1</w:t>
            </w:r>
          </w:p>
        </w:tc>
        <w:tc>
          <w:tcPr>
            <w:tcW w:w="150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0.06</w:t>
            </w:r>
          </w:p>
        </w:tc>
        <w:tc>
          <w:tcPr>
            <w:tcW w:w="1165" w:type="dxa"/>
            <w:tcBorders>
              <w:right w:val="nil"/>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left w:val="nil"/>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绣线菊灌丛</w:t>
            </w:r>
          </w:p>
        </w:tc>
        <w:tc>
          <w:tcPr>
            <w:tcW w:w="908" w:type="dxa"/>
            <w:vAlign w:val="bottom"/>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 w:val="22"/>
                <w:szCs w:val="22"/>
              </w:rPr>
              <w:t>4</w:t>
            </w:r>
          </w:p>
        </w:tc>
        <w:tc>
          <w:tcPr>
            <w:tcW w:w="1164"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7.07 </w:t>
            </w:r>
          </w:p>
        </w:tc>
        <w:tc>
          <w:tcPr>
            <w:tcW w:w="1008"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1.71 </w:t>
            </w:r>
          </w:p>
        </w:tc>
        <w:tc>
          <w:tcPr>
            <w:tcW w:w="134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3</w:t>
            </w:r>
          </w:p>
        </w:tc>
        <w:tc>
          <w:tcPr>
            <w:tcW w:w="150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1.44</w:t>
            </w:r>
          </w:p>
        </w:tc>
        <w:tc>
          <w:tcPr>
            <w:tcW w:w="1165" w:type="dxa"/>
            <w:tcBorders>
              <w:right w:val="nil"/>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35.03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left w:val="nil"/>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山杏灌丛</w:t>
            </w:r>
          </w:p>
        </w:tc>
        <w:tc>
          <w:tcPr>
            <w:tcW w:w="908" w:type="dxa"/>
            <w:vAlign w:val="bottom"/>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 w:val="22"/>
                <w:szCs w:val="22"/>
              </w:rPr>
              <w:t>2</w:t>
            </w:r>
          </w:p>
        </w:tc>
        <w:tc>
          <w:tcPr>
            <w:tcW w:w="1164"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3.66 </w:t>
            </w:r>
          </w:p>
        </w:tc>
        <w:tc>
          <w:tcPr>
            <w:tcW w:w="1008"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0.88 </w:t>
            </w:r>
          </w:p>
        </w:tc>
        <w:tc>
          <w:tcPr>
            <w:tcW w:w="134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1</w:t>
            </w:r>
          </w:p>
        </w:tc>
        <w:tc>
          <w:tcPr>
            <w:tcW w:w="150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0.28</w:t>
            </w:r>
          </w:p>
        </w:tc>
        <w:tc>
          <w:tcPr>
            <w:tcW w:w="1165" w:type="dxa"/>
            <w:tcBorders>
              <w:right w:val="nil"/>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6.81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left w:val="nil"/>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克氏针茅草原</w:t>
            </w:r>
          </w:p>
        </w:tc>
        <w:tc>
          <w:tcPr>
            <w:tcW w:w="908" w:type="dxa"/>
            <w:vAlign w:val="bottom"/>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 w:val="22"/>
                <w:szCs w:val="22"/>
              </w:rPr>
              <w:t>11</w:t>
            </w:r>
          </w:p>
        </w:tc>
        <w:tc>
          <w:tcPr>
            <w:tcW w:w="1164"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21.85 </w:t>
            </w:r>
          </w:p>
        </w:tc>
        <w:tc>
          <w:tcPr>
            <w:tcW w:w="1008"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5.28 </w:t>
            </w:r>
          </w:p>
        </w:tc>
        <w:tc>
          <w:tcPr>
            <w:tcW w:w="1344"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2</w:t>
            </w:r>
          </w:p>
        </w:tc>
        <w:tc>
          <w:tcPr>
            <w:tcW w:w="1504"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0.02</w:t>
            </w:r>
          </w:p>
        </w:tc>
        <w:tc>
          <w:tcPr>
            <w:tcW w:w="1165" w:type="dxa"/>
            <w:tcBorders>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left w:val="nil"/>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石生针茅+戈壁针茅草原</w:t>
            </w:r>
          </w:p>
        </w:tc>
        <w:tc>
          <w:tcPr>
            <w:tcW w:w="908" w:type="dxa"/>
            <w:vAlign w:val="center"/>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 w:val="22"/>
                <w:szCs w:val="22"/>
              </w:rPr>
              <w:t>2</w:t>
            </w:r>
          </w:p>
        </w:tc>
        <w:tc>
          <w:tcPr>
            <w:tcW w:w="1164" w:type="dxa"/>
            <w:vAlign w:val="center"/>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14.89</w:t>
            </w:r>
          </w:p>
        </w:tc>
        <w:tc>
          <w:tcPr>
            <w:tcW w:w="1008" w:type="dxa"/>
            <w:vAlign w:val="center"/>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3.60</w:t>
            </w:r>
          </w:p>
        </w:tc>
        <w:tc>
          <w:tcPr>
            <w:tcW w:w="1344"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504" w:type="dxa"/>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165" w:type="dxa"/>
            <w:tcBorders>
              <w:right w:val="nil"/>
            </w:tcBorders>
            <w:vAlign w:val="center"/>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left w:val="nil"/>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农田植被</w:t>
            </w:r>
          </w:p>
        </w:tc>
        <w:tc>
          <w:tcPr>
            <w:tcW w:w="908" w:type="dxa"/>
            <w:vAlign w:val="bottom"/>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 w:val="22"/>
                <w:szCs w:val="22"/>
              </w:rPr>
              <w:t>24</w:t>
            </w:r>
          </w:p>
        </w:tc>
        <w:tc>
          <w:tcPr>
            <w:tcW w:w="1164"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13.72 </w:t>
            </w:r>
          </w:p>
        </w:tc>
        <w:tc>
          <w:tcPr>
            <w:tcW w:w="1008" w:type="dxa"/>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3.32 </w:t>
            </w:r>
          </w:p>
        </w:tc>
        <w:tc>
          <w:tcPr>
            <w:tcW w:w="134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504" w:type="dxa"/>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c>
          <w:tcPr>
            <w:tcW w:w="1165" w:type="dxa"/>
            <w:tcBorders>
              <w:right w:val="nil"/>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33" w:type="dxa"/>
            <w:tcBorders>
              <w:left w:val="nil"/>
              <w:bottom w:val="single" w:color="auto" w:sz="12" w:space="0"/>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非植被</w:t>
            </w:r>
          </w:p>
        </w:tc>
        <w:tc>
          <w:tcPr>
            <w:tcW w:w="908" w:type="dxa"/>
            <w:tcBorders>
              <w:bottom w:val="single" w:color="auto" w:sz="12" w:space="0"/>
            </w:tcBorders>
            <w:vAlign w:val="bottom"/>
          </w:tcPr>
          <w:p>
            <w:pPr>
              <w:widowControl/>
              <w:jc w:val="center"/>
              <w:textAlignment w:val="bottom"/>
              <w:rPr>
                <w:rFonts w:ascii="宋体" w:hAnsi="宋体" w:eastAsia="宋体" w:cs="宋体"/>
                <w:color w:val="000000"/>
                <w:kern w:val="0"/>
                <w:szCs w:val="21"/>
              </w:rPr>
            </w:pPr>
            <w:r>
              <w:rPr>
                <w:rFonts w:hint="eastAsia" w:ascii="宋体" w:hAnsi="宋体" w:eastAsia="宋体" w:cs="宋体"/>
                <w:color w:val="000000"/>
                <w:kern w:val="0"/>
                <w:sz w:val="22"/>
                <w:szCs w:val="22"/>
              </w:rPr>
              <w:t>25</w:t>
            </w:r>
          </w:p>
        </w:tc>
        <w:tc>
          <w:tcPr>
            <w:tcW w:w="1164" w:type="dxa"/>
            <w:tcBorders>
              <w:bottom w:val="single" w:color="auto" w:sz="12" w:space="0"/>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143.18 </w:t>
            </w:r>
          </w:p>
        </w:tc>
        <w:tc>
          <w:tcPr>
            <w:tcW w:w="1008" w:type="dxa"/>
            <w:tcBorders>
              <w:bottom w:val="single" w:color="auto" w:sz="12" w:space="0"/>
            </w:tcBorders>
            <w:vAlign w:val="bottom"/>
          </w:tcPr>
          <w:p>
            <w:pPr>
              <w:widowControl/>
              <w:jc w:val="center"/>
              <w:textAlignment w:val="bottom"/>
              <w:rPr>
                <w:rFonts w:ascii="宋体" w:hAnsi="宋体" w:eastAsia="宋体" w:cs="宋体"/>
                <w:b/>
                <w:bCs/>
                <w:color w:val="000000" w:themeColor="text1"/>
                <w:szCs w:val="21"/>
              </w:rPr>
            </w:pPr>
            <w:r>
              <w:rPr>
                <w:rFonts w:hint="eastAsia" w:ascii="宋体" w:hAnsi="宋体" w:eastAsia="宋体" w:cs="宋体"/>
                <w:color w:val="000000"/>
                <w:kern w:val="0"/>
                <w:szCs w:val="21"/>
              </w:rPr>
              <w:t xml:space="preserve">34.62 </w:t>
            </w:r>
          </w:p>
        </w:tc>
        <w:tc>
          <w:tcPr>
            <w:tcW w:w="1344" w:type="dxa"/>
            <w:tcBorders>
              <w:bottom w:val="single" w:color="auto" w:sz="12" w:space="0"/>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9</w:t>
            </w:r>
          </w:p>
        </w:tc>
        <w:tc>
          <w:tcPr>
            <w:tcW w:w="1504" w:type="dxa"/>
            <w:tcBorders>
              <w:bottom w:val="single" w:color="auto" w:sz="12" w:space="0"/>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2.33</w:t>
            </w:r>
          </w:p>
        </w:tc>
        <w:tc>
          <w:tcPr>
            <w:tcW w:w="1165" w:type="dxa"/>
            <w:tcBorders>
              <w:bottom w:val="single" w:color="auto" w:sz="12" w:space="0"/>
              <w:right w:val="nil"/>
            </w:tcBorders>
          </w:tcPr>
          <w:p>
            <w:pPr>
              <w:widowControl/>
              <w:jc w:val="center"/>
              <w:rPr>
                <w:rFonts w:ascii="宋体" w:hAnsi="宋体" w:eastAsia="宋体" w:cs="宋体"/>
                <w:color w:val="000000" w:themeColor="text1"/>
                <w:szCs w:val="21"/>
              </w:rPr>
            </w:pPr>
            <w:r>
              <w:rPr>
                <w:rFonts w:hint="eastAsia" w:ascii="宋体" w:hAnsi="宋体" w:eastAsia="宋体" w:cs="宋体"/>
                <w:color w:val="000000" w:themeColor="text1"/>
                <w:szCs w:val="21"/>
              </w:rPr>
              <w:t>56.69</w:t>
            </w:r>
          </w:p>
        </w:tc>
      </w:tr>
    </w:tbl>
    <w:p>
      <w:pPr>
        <w:widowControl/>
        <w:ind w:firstLine="422" w:firstLineChars="200"/>
        <w:jc w:val="center"/>
        <w:rPr>
          <w:rFonts w:ascii="宋体" w:hAnsi="宋体" w:eastAsia="宋体" w:cs="宋体"/>
          <w:b/>
          <w:bCs/>
          <w:color w:val="000000" w:themeColor="text1"/>
          <w:szCs w:val="21"/>
        </w:rPr>
      </w:pPr>
    </w:p>
    <w:p>
      <w:pPr>
        <w:spacing w:line="360" w:lineRule="auto"/>
        <w:rPr>
          <w:rFonts w:ascii="宋体" w:hAnsi="宋体" w:eastAsia="宋体" w:cs="宋体"/>
          <w:color w:val="000000" w:themeColor="text1"/>
          <w:sz w:val="28"/>
          <w:szCs w:val="28"/>
        </w:rPr>
      </w:pPr>
    </w:p>
    <w:p>
      <w:pPr>
        <w:spacing w:line="360" w:lineRule="auto"/>
        <w:rPr>
          <w:rFonts w:ascii="宋体" w:hAnsi="宋体" w:eastAsia="宋体" w:cs="宋体"/>
          <w:color w:val="000000" w:themeColor="text1"/>
          <w:sz w:val="28"/>
          <w:szCs w:val="28"/>
        </w:rPr>
      </w:pPr>
    </w:p>
    <w:p>
      <w:pPr>
        <w:spacing w:line="360" w:lineRule="auto"/>
        <w:rPr>
          <w:rFonts w:ascii="宋体" w:hAnsi="宋体" w:eastAsia="宋体" w:cs="宋体"/>
          <w:color w:val="000000" w:themeColor="text1"/>
          <w:sz w:val="28"/>
          <w:szCs w:val="28"/>
        </w:rPr>
      </w:pPr>
    </w:p>
    <w:p>
      <w:pPr>
        <w:spacing w:line="360" w:lineRule="auto"/>
        <w:rPr>
          <w:rFonts w:ascii="宋体" w:hAnsi="宋体" w:eastAsia="宋体" w:cs="宋体"/>
          <w:color w:val="000000" w:themeColor="text1"/>
          <w:sz w:val="28"/>
          <w:szCs w:val="28"/>
        </w:rPr>
      </w:pPr>
    </w:p>
    <w:p>
      <w:pPr>
        <w:widowControl/>
        <w:jc w:val="left"/>
        <w:rPr>
          <w:rFonts w:ascii="宋体" w:hAnsi="宋体" w:eastAsia="宋体" w:cs="宋体"/>
          <w:color w:val="000000" w:themeColor="text1"/>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outlineLvl w:val="0"/>
        <w:rPr>
          <w:rFonts w:ascii="宋体" w:hAnsi="宋体" w:eastAsia="宋体" w:cs="宋体"/>
          <w:b/>
          <w:bCs/>
          <w:sz w:val="28"/>
          <w:szCs w:val="28"/>
        </w:rPr>
      </w:pPr>
      <w:bookmarkStart w:id="26" w:name="_Toc28989"/>
      <w:r>
        <w:rPr>
          <w:rFonts w:hint="eastAsia" w:ascii="宋体" w:hAnsi="宋体" w:eastAsia="宋体" w:cs="宋体"/>
          <w:b/>
          <w:bCs/>
          <w:sz w:val="28"/>
          <w:szCs w:val="28"/>
        </w:rPr>
        <w:t>7大气环境影响调查</w:t>
      </w:r>
      <w:bookmarkEnd w:id="26"/>
    </w:p>
    <w:p>
      <w:pPr>
        <w:spacing w:line="360" w:lineRule="auto"/>
        <w:ind w:firstLine="560"/>
        <w:rPr>
          <w:rFonts w:ascii="宋体" w:hAnsi="宋体" w:eastAsia="宋体" w:cs="宋体"/>
          <w:sz w:val="28"/>
          <w:szCs w:val="28"/>
        </w:rPr>
      </w:pPr>
      <w:r>
        <w:rPr>
          <w:rFonts w:hint="eastAsia" w:ascii="宋体" w:hAnsi="宋体"/>
          <w:sz w:val="28"/>
        </w:rPr>
        <w:t>项目运营期污染物主要为燃气锅炉烟气。项目采暖采用自建锅炉房，</w:t>
      </w:r>
      <w:r>
        <w:rPr>
          <w:rFonts w:hint="eastAsia" w:ascii="宋体" w:hAnsi="宋体" w:eastAsia="宋体" w:cs="宋体"/>
          <w:sz w:val="28"/>
        </w:rPr>
        <w:t>由</w:t>
      </w:r>
      <w:r>
        <w:rPr>
          <w:rFonts w:hint="eastAsia" w:ascii="宋体" w:hAnsi="宋体" w:eastAsia="宋体" w:cs="宋体"/>
          <w:sz w:val="28"/>
          <w:szCs w:val="28"/>
        </w:rPr>
        <w:t>2台1t/h、1台0.5t/h燃气热水锅炉组成。锅炉烟气通过8m高排气筒排放。</w:t>
      </w:r>
    </w:p>
    <w:p>
      <w:pPr>
        <w:spacing w:line="360" w:lineRule="auto"/>
        <w:outlineLvl w:val="1"/>
        <w:rPr>
          <w:rFonts w:ascii="宋体" w:hAnsi="宋体" w:eastAsia="宋体" w:cs="宋体"/>
          <w:b/>
          <w:bCs/>
          <w:sz w:val="28"/>
          <w:szCs w:val="28"/>
        </w:rPr>
      </w:pPr>
      <w:bookmarkStart w:id="27" w:name="_Toc20167"/>
      <w:r>
        <w:rPr>
          <w:rFonts w:hint="eastAsia" w:ascii="宋体" w:hAnsi="宋体" w:eastAsia="宋体" w:cs="宋体"/>
          <w:b/>
          <w:bCs/>
          <w:sz w:val="28"/>
          <w:szCs w:val="28"/>
        </w:rPr>
        <w:t>7.1监测因子</w:t>
      </w:r>
      <w:bookmarkEnd w:id="27"/>
    </w:p>
    <w:p>
      <w:pPr>
        <w:spacing w:line="360" w:lineRule="auto"/>
        <w:rPr>
          <w:rFonts w:ascii="宋体" w:hAnsi="宋体" w:eastAsia="宋体" w:cs="宋体"/>
          <w:b/>
          <w:bCs/>
          <w:sz w:val="28"/>
          <w:szCs w:val="28"/>
        </w:rPr>
      </w:pPr>
      <w:r>
        <w:rPr>
          <w:rFonts w:hint="eastAsia" w:ascii="宋体" w:hAnsi="宋体" w:eastAsia="宋体" w:cs="宋体"/>
          <w:sz w:val="28"/>
          <w:szCs w:val="28"/>
        </w:rPr>
        <w:t xml:space="preserve"> 颗粒物、</w:t>
      </w:r>
      <w:r>
        <w:rPr>
          <w:rFonts w:hint="eastAsia" w:ascii="宋体" w:hAnsi="宋体"/>
          <w:color w:val="000000" w:themeColor="text1"/>
          <w:sz w:val="28"/>
        </w:rPr>
        <w:t>SO</w:t>
      </w:r>
      <w:r>
        <w:rPr>
          <w:rFonts w:hint="eastAsia" w:ascii="宋体" w:hAnsi="宋体"/>
          <w:color w:val="000000" w:themeColor="text1"/>
          <w:sz w:val="28"/>
          <w:vertAlign w:val="subscript"/>
        </w:rPr>
        <w:t>2</w:t>
      </w:r>
      <w:r>
        <w:rPr>
          <w:rFonts w:hint="eastAsia" w:ascii="宋体" w:hAnsi="宋体"/>
          <w:color w:val="000000" w:themeColor="text1"/>
          <w:sz w:val="28"/>
        </w:rPr>
        <w:t>、NO</w:t>
      </w:r>
      <w:r>
        <w:rPr>
          <w:rFonts w:hint="eastAsia" w:ascii="宋体" w:hAnsi="宋体"/>
          <w:color w:val="000000" w:themeColor="text1"/>
          <w:sz w:val="28"/>
          <w:vertAlign w:val="subscript"/>
        </w:rPr>
        <w:t>X、</w:t>
      </w:r>
      <w:r>
        <w:rPr>
          <w:rFonts w:hint="eastAsia" w:ascii="宋体" w:hAnsi="宋体" w:eastAsia="宋体" w:cs="宋体"/>
          <w:sz w:val="28"/>
          <w:szCs w:val="28"/>
        </w:rPr>
        <w:t>林格曼黑度。</w:t>
      </w:r>
    </w:p>
    <w:p>
      <w:pPr>
        <w:spacing w:line="360" w:lineRule="auto"/>
        <w:outlineLvl w:val="1"/>
        <w:rPr>
          <w:rFonts w:ascii="宋体" w:hAnsi="宋体" w:eastAsia="宋体" w:cs="宋体"/>
          <w:b/>
          <w:bCs/>
          <w:sz w:val="28"/>
          <w:szCs w:val="28"/>
        </w:rPr>
      </w:pPr>
      <w:bookmarkStart w:id="28" w:name="_Toc1063"/>
      <w:r>
        <w:rPr>
          <w:rFonts w:hint="eastAsia" w:ascii="宋体" w:hAnsi="宋体" w:eastAsia="宋体" w:cs="宋体"/>
          <w:b/>
          <w:bCs/>
          <w:sz w:val="28"/>
          <w:szCs w:val="28"/>
        </w:rPr>
        <w:t>7.2监测分析方法</w:t>
      </w:r>
      <w:bookmarkEnd w:id="28"/>
    </w:p>
    <w:p>
      <w:pPr>
        <w:spacing w:line="360" w:lineRule="auto"/>
        <w:ind w:firstLine="560" w:firstLineChars="200"/>
        <w:rPr>
          <w:rFonts w:ascii="宋体" w:hAnsi="宋体" w:eastAsia="宋体" w:cs="宋体"/>
          <w:sz w:val="28"/>
        </w:rPr>
      </w:pPr>
      <w:r>
        <w:rPr>
          <w:rFonts w:hint="eastAsia" w:ascii="宋体" w:hAnsi="宋体" w:eastAsia="宋体" w:cs="宋体"/>
          <w:sz w:val="28"/>
        </w:rPr>
        <w:t>废气、噪声及生活污水监测分析方法见表7-1。</w:t>
      </w:r>
    </w:p>
    <w:p>
      <w:pPr>
        <w:spacing w:line="360" w:lineRule="auto"/>
        <w:jc w:val="center"/>
        <w:rPr>
          <w:rFonts w:ascii="宋体" w:hAnsi="宋体" w:eastAsia="宋体" w:cs="宋体"/>
          <w:b/>
          <w:bCs/>
          <w:szCs w:val="21"/>
        </w:rPr>
      </w:pPr>
      <w:r>
        <w:rPr>
          <w:rFonts w:hint="eastAsia" w:ascii="宋体" w:hAnsi="宋体" w:eastAsia="宋体" w:cs="宋体"/>
          <w:b/>
          <w:bCs/>
          <w:szCs w:val="21"/>
        </w:rPr>
        <w:t>表7-1 监测分析方法一览表</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1380"/>
        <w:gridCol w:w="63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tcBorders>
              <w:top w:val="single" w:color="auto" w:sz="12" w:space="0"/>
              <w:left w:val="nil"/>
            </w:tcBorders>
          </w:tcPr>
          <w:p>
            <w:pPr>
              <w:spacing w:line="360" w:lineRule="exact"/>
              <w:jc w:val="center"/>
              <w:rPr>
                <w:rFonts w:ascii="宋体" w:hAnsi="宋体" w:eastAsia="宋体" w:cs="宋体"/>
                <w:szCs w:val="21"/>
              </w:rPr>
            </w:pPr>
            <w:r>
              <w:rPr>
                <w:rFonts w:hint="eastAsia" w:ascii="宋体" w:hAnsi="宋体" w:eastAsia="宋体" w:cs="宋体"/>
                <w:szCs w:val="21"/>
              </w:rPr>
              <w:t>类别</w:t>
            </w:r>
          </w:p>
        </w:tc>
        <w:tc>
          <w:tcPr>
            <w:tcW w:w="1380" w:type="dxa"/>
            <w:tcBorders>
              <w:top w:val="single" w:color="auto" w:sz="12" w:space="0"/>
            </w:tcBorders>
          </w:tcPr>
          <w:p>
            <w:pPr>
              <w:spacing w:line="360" w:lineRule="exact"/>
              <w:jc w:val="center"/>
              <w:rPr>
                <w:rFonts w:ascii="宋体" w:hAnsi="宋体" w:eastAsia="宋体" w:cs="宋体"/>
                <w:szCs w:val="21"/>
              </w:rPr>
            </w:pPr>
            <w:r>
              <w:rPr>
                <w:rFonts w:hint="eastAsia" w:ascii="宋体" w:hAnsi="宋体" w:eastAsia="宋体" w:cs="宋体"/>
                <w:szCs w:val="21"/>
              </w:rPr>
              <w:t>项目</w:t>
            </w:r>
          </w:p>
        </w:tc>
        <w:tc>
          <w:tcPr>
            <w:tcW w:w="6353" w:type="dxa"/>
            <w:tcBorders>
              <w:top w:val="single" w:color="auto" w:sz="12" w:space="0"/>
              <w:right w:val="nil"/>
            </w:tcBorders>
          </w:tcPr>
          <w:p>
            <w:pPr>
              <w:spacing w:line="360" w:lineRule="exact"/>
              <w:jc w:val="center"/>
              <w:rPr>
                <w:rFonts w:ascii="宋体" w:hAnsi="宋体" w:eastAsia="宋体" w:cs="宋体"/>
                <w:szCs w:val="21"/>
              </w:rPr>
            </w:pPr>
            <w:r>
              <w:rPr>
                <w:rFonts w:hint="eastAsia" w:ascii="宋体" w:hAnsi="宋体" w:eastAsia="宋体" w:cs="宋体"/>
                <w:szCs w:val="21"/>
              </w:rPr>
              <w:t>监测分析方法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vMerge w:val="restart"/>
            <w:tcBorders>
              <w:left w:val="nil"/>
            </w:tcBorders>
            <w:vAlign w:val="center"/>
          </w:tcPr>
          <w:p>
            <w:pPr>
              <w:spacing w:line="360" w:lineRule="exact"/>
              <w:jc w:val="center"/>
              <w:rPr>
                <w:rFonts w:ascii="宋体" w:hAnsi="宋体" w:eastAsia="宋体" w:cs="宋体"/>
                <w:szCs w:val="21"/>
              </w:rPr>
            </w:pPr>
            <w:r>
              <w:rPr>
                <w:rFonts w:hint="eastAsia" w:ascii="宋体" w:hAnsi="宋体" w:eastAsia="宋体" w:cs="宋体"/>
                <w:szCs w:val="21"/>
              </w:rPr>
              <w:t>废气</w:t>
            </w:r>
          </w:p>
        </w:tc>
        <w:tc>
          <w:tcPr>
            <w:tcW w:w="1380" w:type="dxa"/>
          </w:tcPr>
          <w:p>
            <w:pPr>
              <w:spacing w:line="360" w:lineRule="exact"/>
              <w:jc w:val="center"/>
              <w:rPr>
                <w:rFonts w:ascii="宋体" w:hAnsi="宋体" w:eastAsia="宋体" w:cs="宋体"/>
                <w:szCs w:val="21"/>
              </w:rPr>
            </w:pPr>
            <w:r>
              <w:rPr>
                <w:rFonts w:hint="eastAsia" w:ascii="宋体" w:hAnsi="宋体" w:eastAsia="宋体" w:cs="宋体"/>
                <w:szCs w:val="21"/>
              </w:rPr>
              <w:t>颗粒物</w:t>
            </w:r>
          </w:p>
        </w:tc>
        <w:tc>
          <w:tcPr>
            <w:tcW w:w="6353" w:type="dxa"/>
            <w:tcBorders>
              <w:right w:val="nil"/>
            </w:tcBorders>
          </w:tcPr>
          <w:p>
            <w:pPr>
              <w:spacing w:line="360" w:lineRule="exact"/>
              <w:jc w:val="center"/>
              <w:rPr>
                <w:rFonts w:ascii="宋体" w:hAnsi="宋体" w:eastAsia="宋体" w:cs="宋体"/>
                <w:szCs w:val="21"/>
              </w:rPr>
            </w:pPr>
            <w:r>
              <w:rPr>
                <w:rFonts w:hint="eastAsia" w:ascii="宋体" w:hAnsi="宋体" w:eastAsia="宋体" w:cs="宋体"/>
                <w:szCs w:val="21"/>
              </w:rPr>
              <w:t>锅炉烟尘测试方法  GB5468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vMerge w:val="continue"/>
            <w:tcBorders>
              <w:left w:val="nil"/>
            </w:tcBorders>
          </w:tcPr>
          <w:p>
            <w:pPr>
              <w:spacing w:line="360" w:lineRule="exact"/>
              <w:jc w:val="center"/>
              <w:rPr>
                <w:rFonts w:ascii="宋体" w:hAnsi="宋体" w:eastAsia="宋体" w:cs="宋体"/>
                <w:szCs w:val="21"/>
              </w:rPr>
            </w:pPr>
          </w:p>
        </w:tc>
        <w:tc>
          <w:tcPr>
            <w:tcW w:w="1380" w:type="dxa"/>
          </w:tcPr>
          <w:p>
            <w:pPr>
              <w:spacing w:line="360" w:lineRule="exact"/>
              <w:jc w:val="center"/>
              <w:rPr>
                <w:rFonts w:ascii="宋体" w:hAnsi="宋体" w:eastAsia="宋体" w:cs="宋体"/>
                <w:color w:val="000000" w:themeColor="text1"/>
                <w:szCs w:val="21"/>
              </w:rPr>
            </w:pPr>
            <w:r>
              <w:rPr>
                <w:rFonts w:hint="eastAsia" w:ascii="宋体" w:hAnsi="宋体" w:eastAsia="宋体" w:cs="宋体"/>
                <w:color w:val="000000" w:themeColor="text1"/>
                <w:szCs w:val="21"/>
              </w:rPr>
              <w:t>SO</w:t>
            </w:r>
            <w:r>
              <w:rPr>
                <w:rFonts w:hint="eastAsia" w:ascii="宋体" w:hAnsi="宋体" w:eastAsia="宋体" w:cs="宋体"/>
                <w:color w:val="000000" w:themeColor="text1"/>
                <w:szCs w:val="21"/>
                <w:vertAlign w:val="subscript"/>
              </w:rPr>
              <w:t>2</w:t>
            </w:r>
          </w:p>
        </w:tc>
        <w:tc>
          <w:tcPr>
            <w:tcW w:w="6353" w:type="dxa"/>
            <w:tcBorders>
              <w:right w:val="nil"/>
            </w:tcBorders>
          </w:tcPr>
          <w:p>
            <w:pPr>
              <w:spacing w:line="360" w:lineRule="exact"/>
              <w:rPr>
                <w:rFonts w:ascii="宋体" w:hAnsi="宋体" w:eastAsia="宋体" w:cs="宋体"/>
                <w:color w:val="000000" w:themeColor="text1"/>
                <w:szCs w:val="21"/>
              </w:rPr>
            </w:pPr>
            <w:r>
              <w:rPr>
                <w:rFonts w:hint="eastAsia" w:ascii="宋体" w:hAnsi="宋体" w:eastAsia="宋体" w:cs="宋体"/>
                <w:color w:val="000000" w:themeColor="text1"/>
                <w:szCs w:val="21"/>
              </w:rPr>
              <w:t>固定污染源排气中二氧化硫的测定 定电位电解法HJ/T57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vMerge w:val="continue"/>
            <w:tcBorders>
              <w:left w:val="nil"/>
            </w:tcBorders>
          </w:tcPr>
          <w:p>
            <w:pPr>
              <w:spacing w:line="360" w:lineRule="exact"/>
              <w:jc w:val="center"/>
              <w:rPr>
                <w:rFonts w:ascii="宋体" w:hAnsi="宋体" w:eastAsia="宋体" w:cs="宋体"/>
                <w:szCs w:val="21"/>
              </w:rPr>
            </w:pPr>
          </w:p>
        </w:tc>
        <w:tc>
          <w:tcPr>
            <w:tcW w:w="1380" w:type="dxa"/>
          </w:tcPr>
          <w:p>
            <w:pPr>
              <w:spacing w:line="360" w:lineRule="exact"/>
              <w:jc w:val="center"/>
              <w:rPr>
                <w:rFonts w:ascii="宋体" w:hAnsi="宋体" w:eastAsia="宋体" w:cs="宋体"/>
                <w:color w:val="000000" w:themeColor="text1"/>
                <w:szCs w:val="21"/>
              </w:rPr>
            </w:pPr>
            <w:r>
              <w:rPr>
                <w:rFonts w:hint="eastAsia" w:ascii="宋体" w:hAnsi="宋体" w:eastAsia="宋体" w:cs="宋体"/>
                <w:color w:val="000000" w:themeColor="text1"/>
                <w:szCs w:val="21"/>
              </w:rPr>
              <w:t>NO</w:t>
            </w:r>
            <w:r>
              <w:rPr>
                <w:rFonts w:hint="eastAsia" w:ascii="宋体" w:hAnsi="宋体" w:eastAsia="宋体" w:cs="宋体"/>
                <w:color w:val="000000" w:themeColor="text1"/>
                <w:szCs w:val="21"/>
                <w:vertAlign w:val="subscript"/>
              </w:rPr>
              <w:t>X</w:t>
            </w:r>
          </w:p>
        </w:tc>
        <w:tc>
          <w:tcPr>
            <w:tcW w:w="6353" w:type="dxa"/>
            <w:tcBorders>
              <w:right w:val="nil"/>
            </w:tcBorders>
          </w:tcPr>
          <w:p>
            <w:pPr>
              <w:spacing w:line="360" w:lineRule="exact"/>
              <w:rPr>
                <w:rFonts w:ascii="宋体" w:hAnsi="宋体" w:eastAsia="宋体" w:cs="宋体"/>
                <w:color w:val="000000" w:themeColor="text1"/>
                <w:szCs w:val="21"/>
              </w:rPr>
            </w:pPr>
            <w:r>
              <w:rPr>
                <w:rFonts w:hint="eastAsia" w:ascii="宋体" w:hAnsi="宋体" w:eastAsia="宋体" w:cs="宋体"/>
                <w:color w:val="000000" w:themeColor="text1"/>
                <w:szCs w:val="21"/>
              </w:rPr>
              <w:t>固定污染源排气中氮氧化物的测定 定电位电解法HJ692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vMerge w:val="continue"/>
            <w:tcBorders>
              <w:left w:val="nil"/>
            </w:tcBorders>
          </w:tcPr>
          <w:p>
            <w:pPr>
              <w:spacing w:line="360" w:lineRule="exact"/>
              <w:jc w:val="center"/>
              <w:rPr>
                <w:rFonts w:ascii="宋体" w:hAnsi="宋体" w:eastAsia="宋体" w:cs="宋体"/>
                <w:szCs w:val="21"/>
              </w:rPr>
            </w:pPr>
          </w:p>
        </w:tc>
        <w:tc>
          <w:tcPr>
            <w:tcW w:w="1380" w:type="dxa"/>
          </w:tcPr>
          <w:p>
            <w:pPr>
              <w:spacing w:line="360" w:lineRule="exact"/>
              <w:jc w:val="center"/>
              <w:rPr>
                <w:rFonts w:ascii="宋体" w:hAnsi="宋体" w:eastAsia="宋体" w:cs="宋体"/>
                <w:szCs w:val="21"/>
              </w:rPr>
            </w:pPr>
            <w:r>
              <w:rPr>
                <w:rFonts w:hint="eastAsia" w:ascii="宋体" w:hAnsi="宋体" w:eastAsia="宋体" w:cs="宋体"/>
                <w:szCs w:val="21"/>
              </w:rPr>
              <w:t>林格曼黑度</w:t>
            </w:r>
          </w:p>
        </w:tc>
        <w:tc>
          <w:tcPr>
            <w:tcW w:w="6353" w:type="dxa"/>
            <w:tcBorders>
              <w:right w:val="nil"/>
            </w:tcBorders>
          </w:tcPr>
          <w:p>
            <w:pPr>
              <w:spacing w:line="360" w:lineRule="exact"/>
              <w:jc w:val="center"/>
              <w:rPr>
                <w:rFonts w:ascii="宋体" w:hAnsi="宋体" w:eastAsia="宋体" w:cs="宋体"/>
                <w:szCs w:val="21"/>
              </w:rPr>
            </w:pPr>
            <w:r>
              <w:rPr>
                <w:rFonts w:hint="eastAsia" w:ascii="宋体" w:hAnsi="宋体" w:eastAsia="宋体" w:cs="宋体"/>
                <w:szCs w:val="21"/>
              </w:rPr>
              <w:t>固定污染源排放烟气黑度的测定 林格曼烟气黑度图法HJ/T398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tcBorders>
              <w:left w:val="nil"/>
            </w:tcBorders>
          </w:tcPr>
          <w:p>
            <w:pPr>
              <w:spacing w:line="360" w:lineRule="exact"/>
              <w:jc w:val="center"/>
              <w:rPr>
                <w:rFonts w:ascii="宋体" w:hAnsi="宋体" w:eastAsia="宋体" w:cs="宋体"/>
                <w:szCs w:val="21"/>
              </w:rPr>
            </w:pPr>
            <w:r>
              <w:rPr>
                <w:rFonts w:hint="eastAsia" w:ascii="宋体" w:hAnsi="宋体" w:eastAsia="宋体" w:cs="宋体"/>
                <w:szCs w:val="21"/>
              </w:rPr>
              <w:t>噪声</w:t>
            </w:r>
          </w:p>
        </w:tc>
        <w:tc>
          <w:tcPr>
            <w:tcW w:w="1380" w:type="dxa"/>
          </w:tcPr>
          <w:p>
            <w:pPr>
              <w:spacing w:line="360" w:lineRule="exact"/>
              <w:jc w:val="center"/>
              <w:rPr>
                <w:rFonts w:ascii="宋体" w:hAnsi="宋体" w:eastAsia="宋体" w:cs="宋体"/>
                <w:szCs w:val="21"/>
              </w:rPr>
            </w:pPr>
            <w:r>
              <w:rPr>
                <w:rFonts w:hint="eastAsia" w:ascii="宋体" w:hAnsi="宋体" w:eastAsia="宋体" w:cs="宋体"/>
                <w:szCs w:val="21"/>
              </w:rPr>
              <w:t>厂界噪声</w:t>
            </w:r>
          </w:p>
        </w:tc>
        <w:tc>
          <w:tcPr>
            <w:tcW w:w="6353" w:type="dxa"/>
            <w:tcBorders>
              <w:right w:val="nil"/>
            </w:tcBorders>
          </w:tcPr>
          <w:p>
            <w:pPr>
              <w:spacing w:line="360" w:lineRule="exact"/>
              <w:jc w:val="center"/>
              <w:rPr>
                <w:rFonts w:ascii="宋体" w:hAnsi="宋体" w:eastAsia="宋体" w:cs="宋体"/>
                <w:szCs w:val="21"/>
              </w:rPr>
            </w:pPr>
            <w:r>
              <w:rPr>
                <w:rFonts w:hint="eastAsia" w:ascii="宋体" w:hAnsi="宋体" w:eastAsia="宋体" w:cs="宋体"/>
                <w:szCs w:val="21"/>
              </w:rPr>
              <w:t>工业企业厂界环境噪声排放标准GB12348-2008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vMerge w:val="restart"/>
            <w:tcBorders>
              <w:left w:val="nil"/>
            </w:tcBorders>
            <w:vAlign w:val="center"/>
          </w:tcPr>
          <w:p>
            <w:pPr>
              <w:spacing w:line="360" w:lineRule="exact"/>
              <w:jc w:val="center"/>
              <w:rPr>
                <w:rFonts w:ascii="宋体" w:hAnsi="宋体" w:eastAsia="宋体" w:cs="宋体"/>
                <w:szCs w:val="21"/>
              </w:rPr>
            </w:pPr>
            <w:r>
              <w:rPr>
                <w:rFonts w:hint="eastAsia" w:ascii="宋体" w:hAnsi="宋体" w:eastAsia="宋体" w:cs="宋体"/>
                <w:szCs w:val="21"/>
              </w:rPr>
              <w:t>污水</w:t>
            </w:r>
          </w:p>
        </w:tc>
        <w:tc>
          <w:tcPr>
            <w:tcW w:w="1380" w:type="dxa"/>
            <w:vAlign w:val="center"/>
          </w:tcPr>
          <w:p>
            <w:pPr>
              <w:spacing w:line="360" w:lineRule="exact"/>
              <w:jc w:val="center"/>
              <w:rPr>
                <w:rFonts w:ascii="宋体" w:hAnsi="宋体" w:eastAsia="宋体" w:cs="宋体"/>
                <w:szCs w:val="21"/>
              </w:rPr>
            </w:pPr>
            <w:r>
              <w:rPr>
                <w:rFonts w:hint="eastAsia" w:ascii="宋体" w:hAnsi="宋体" w:eastAsia="宋体" w:cs="宋体"/>
                <w:color w:val="000000"/>
                <w:szCs w:val="21"/>
              </w:rPr>
              <w:t>SS</w:t>
            </w:r>
          </w:p>
        </w:tc>
        <w:tc>
          <w:tcPr>
            <w:tcW w:w="6353" w:type="dxa"/>
            <w:tcBorders>
              <w:right w:val="nil"/>
            </w:tcBorders>
          </w:tcPr>
          <w:p>
            <w:pPr>
              <w:spacing w:line="360" w:lineRule="exact"/>
              <w:jc w:val="center"/>
              <w:rPr>
                <w:rFonts w:ascii="宋体" w:hAnsi="宋体" w:eastAsia="宋体" w:cs="宋体"/>
                <w:szCs w:val="21"/>
              </w:rPr>
            </w:pPr>
            <w:r>
              <w:rPr>
                <w:rFonts w:hint="eastAsia" w:ascii="宋体" w:hAnsi="宋体" w:eastAsia="宋体" w:cs="宋体"/>
                <w:szCs w:val="21"/>
              </w:rPr>
              <w:t>重量法 GB11901-89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vMerge w:val="continue"/>
            <w:tcBorders>
              <w:left w:val="nil"/>
            </w:tcBorders>
          </w:tcPr>
          <w:p>
            <w:pPr>
              <w:spacing w:line="360" w:lineRule="exact"/>
              <w:jc w:val="center"/>
              <w:rPr>
                <w:rFonts w:ascii="宋体" w:hAnsi="宋体" w:eastAsia="宋体" w:cs="宋体"/>
                <w:szCs w:val="21"/>
              </w:rPr>
            </w:pPr>
          </w:p>
        </w:tc>
        <w:tc>
          <w:tcPr>
            <w:tcW w:w="1380" w:type="dxa"/>
            <w:vAlign w:val="center"/>
          </w:tcPr>
          <w:p>
            <w:pPr>
              <w:spacing w:line="360" w:lineRule="exact"/>
              <w:jc w:val="center"/>
              <w:rPr>
                <w:rFonts w:ascii="宋体" w:hAnsi="宋体" w:eastAsia="宋体" w:cs="宋体"/>
                <w:szCs w:val="21"/>
              </w:rPr>
            </w:pPr>
            <w:r>
              <w:rPr>
                <w:rFonts w:hint="eastAsia" w:ascii="宋体" w:hAnsi="宋体" w:eastAsia="宋体" w:cs="宋体"/>
                <w:color w:val="000000"/>
                <w:szCs w:val="21"/>
              </w:rPr>
              <w:t>BOD</w:t>
            </w:r>
            <w:r>
              <w:rPr>
                <w:rFonts w:hint="eastAsia" w:ascii="宋体" w:hAnsi="宋体" w:eastAsia="宋体" w:cs="宋体"/>
                <w:color w:val="000000"/>
                <w:szCs w:val="21"/>
                <w:vertAlign w:val="subscript"/>
              </w:rPr>
              <w:t>5</w:t>
            </w:r>
          </w:p>
        </w:tc>
        <w:tc>
          <w:tcPr>
            <w:tcW w:w="6353" w:type="dxa"/>
            <w:tcBorders>
              <w:right w:val="nil"/>
            </w:tcBorders>
          </w:tcPr>
          <w:p>
            <w:pPr>
              <w:spacing w:line="360" w:lineRule="exact"/>
              <w:jc w:val="center"/>
              <w:rPr>
                <w:rFonts w:ascii="宋体" w:hAnsi="宋体" w:eastAsia="宋体" w:cs="宋体"/>
                <w:szCs w:val="21"/>
              </w:rPr>
            </w:pPr>
            <w:r>
              <w:rPr>
                <w:rFonts w:hint="eastAsia" w:ascii="宋体" w:hAnsi="宋体" w:eastAsia="宋体" w:cs="宋体"/>
                <w:szCs w:val="21"/>
              </w:rPr>
              <w:t>稀释与接种法 GB7488-87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vMerge w:val="continue"/>
            <w:tcBorders>
              <w:left w:val="nil"/>
            </w:tcBorders>
          </w:tcPr>
          <w:p>
            <w:pPr>
              <w:spacing w:line="360" w:lineRule="exact"/>
              <w:jc w:val="center"/>
              <w:rPr>
                <w:rFonts w:ascii="宋体" w:hAnsi="宋体" w:eastAsia="宋体" w:cs="宋体"/>
                <w:szCs w:val="21"/>
              </w:rPr>
            </w:pPr>
          </w:p>
        </w:tc>
        <w:tc>
          <w:tcPr>
            <w:tcW w:w="1380" w:type="dxa"/>
          </w:tcPr>
          <w:p>
            <w:pPr>
              <w:spacing w:line="360" w:lineRule="exact"/>
              <w:jc w:val="center"/>
              <w:rPr>
                <w:rFonts w:ascii="宋体" w:hAnsi="宋体" w:eastAsia="宋体" w:cs="宋体"/>
                <w:szCs w:val="21"/>
              </w:rPr>
            </w:pPr>
            <w:r>
              <w:rPr>
                <w:rFonts w:hint="eastAsia" w:ascii="宋体" w:hAnsi="宋体" w:eastAsia="宋体" w:cs="宋体"/>
                <w:color w:val="000000"/>
                <w:szCs w:val="21"/>
              </w:rPr>
              <w:t>COD</w:t>
            </w:r>
          </w:p>
        </w:tc>
        <w:tc>
          <w:tcPr>
            <w:tcW w:w="6353" w:type="dxa"/>
            <w:tcBorders>
              <w:right w:val="nil"/>
            </w:tcBorders>
          </w:tcPr>
          <w:p>
            <w:pPr>
              <w:spacing w:line="360" w:lineRule="exact"/>
              <w:jc w:val="center"/>
              <w:rPr>
                <w:rFonts w:ascii="宋体" w:hAnsi="宋体" w:eastAsia="宋体" w:cs="宋体"/>
                <w:szCs w:val="21"/>
              </w:rPr>
            </w:pPr>
            <w:r>
              <w:rPr>
                <w:rFonts w:hint="eastAsia" w:ascii="宋体" w:hAnsi="宋体" w:eastAsia="宋体" w:cs="宋体"/>
                <w:szCs w:val="21"/>
              </w:rPr>
              <w:t>重铬酸钾法 GB11914-89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vMerge w:val="continue"/>
            <w:tcBorders>
              <w:left w:val="nil"/>
            </w:tcBorders>
          </w:tcPr>
          <w:p>
            <w:pPr>
              <w:spacing w:line="360" w:lineRule="exact"/>
              <w:jc w:val="center"/>
              <w:rPr>
                <w:rFonts w:ascii="宋体" w:hAnsi="宋体" w:eastAsia="宋体" w:cs="宋体"/>
                <w:szCs w:val="21"/>
              </w:rPr>
            </w:pPr>
          </w:p>
        </w:tc>
        <w:tc>
          <w:tcPr>
            <w:tcW w:w="1380" w:type="dxa"/>
          </w:tcPr>
          <w:p>
            <w:pPr>
              <w:spacing w:line="360" w:lineRule="exact"/>
              <w:jc w:val="center"/>
              <w:rPr>
                <w:rFonts w:ascii="宋体" w:hAnsi="宋体" w:eastAsia="宋体" w:cs="宋体"/>
                <w:szCs w:val="21"/>
              </w:rPr>
            </w:pPr>
            <w:r>
              <w:rPr>
                <w:rFonts w:hint="eastAsia" w:ascii="宋体" w:hAnsi="宋体" w:eastAsia="宋体" w:cs="宋体"/>
                <w:color w:val="000000"/>
                <w:szCs w:val="21"/>
              </w:rPr>
              <w:t>氨氮</w:t>
            </w:r>
          </w:p>
        </w:tc>
        <w:tc>
          <w:tcPr>
            <w:tcW w:w="6353" w:type="dxa"/>
            <w:tcBorders>
              <w:right w:val="nil"/>
            </w:tcBorders>
          </w:tcPr>
          <w:p>
            <w:pPr>
              <w:spacing w:line="360" w:lineRule="exact"/>
              <w:jc w:val="center"/>
              <w:rPr>
                <w:rFonts w:ascii="宋体" w:hAnsi="宋体" w:eastAsia="宋体" w:cs="宋体"/>
                <w:szCs w:val="21"/>
              </w:rPr>
            </w:pPr>
            <w:r>
              <w:rPr>
                <w:rFonts w:hint="eastAsia" w:ascii="宋体" w:hAnsi="宋体" w:eastAsia="宋体" w:cs="宋体"/>
                <w:szCs w:val="21"/>
              </w:rPr>
              <w:t>纳氏试剂分光光度法 GB7479-87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vMerge w:val="continue"/>
            <w:tcBorders>
              <w:left w:val="nil"/>
            </w:tcBorders>
          </w:tcPr>
          <w:p>
            <w:pPr>
              <w:spacing w:line="360" w:lineRule="exact"/>
              <w:jc w:val="center"/>
              <w:rPr>
                <w:rFonts w:ascii="宋体" w:hAnsi="宋体" w:eastAsia="宋体" w:cs="宋体"/>
                <w:szCs w:val="21"/>
              </w:rPr>
            </w:pPr>
          </w:p>
        </w:tc>
        <w:tc>
          <w:tcPr>
            <w:tcW w:w="1380" w:type="dxa"/>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动植物油</w:t>
            </w:r>
          </w:p>
        </w:tc>
        <w:tc>
          <w:tcPr>
            <w:tcW w:w="6353" w:type="dxa"/>
            <w:tcBorders>
              <w:right w:val="nil"/>
            </w:tcBorders>
          </w:tcPr>
          <w:p>
            <w:pPr>
              <w:spacing w:line="360" w:lineRule="exact"/>
              <w:jc w:val="center"/>
              <w:rPr>
                <w:rFonts w:ascii="宋体" w:hAnsi="宋体" w:eastAsia="宋体" w:cs="宋体"/>
                <w:szCs w:val="21"/>
              </w:rPr>
            </w:pPr>
            <w:r>
              <w:rPr>
                <w:rFonts w:hint="eastAsia" w:ascii="宋体" w:hAnsi="宋体" w:eastAsia="宋体" w:cs="宋体"/>
                <w:szCs w:val="21"/>
              </w:rPr>
              <w:t>红外光度法 GB/T16488-96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9" w:type="dxa"/>
            <w:vMerge w:val="continue"/>
            <w:tcBorders>
              <w:left w:val="nil"/>
              <w:bottom w:val="single" w:color="auto" w:sz="12" w:space="0"/>
            </w:tcBorders>
          </w:tcPr>
          <w:p>
            <w:pPr>
              <w:spacing w:line="360" w:lineRule="exact"/>
              <w:jc w:val="center"/>
              <w:rPr>
                <w:rFonts w:ascii="宋体" w:hAnsi="宋体" w:eastAsia="宋体" w:cs="宋体"/>
                <w:szCs w:val="21"/>
              </w:rPr>
            </w:pPr>
          </w:p>
        </w:tc>
        <w:tc>
          <w:tcPr>
            <w:tcW w:w="1380" w:type="dxa"/>
            <w:tcBorders>
              <w:bottom w:val="single" w:color="auto" w:sz="12" w:space="0"/>
            </w:tcBorders>
          </w:tcPr>
          <w:p>
            <w:pPr>
              <w:spacing w:line="360" w:lineRule="exact"/>
              <w:jc w:val="center"/>
              <w:rPr>
                <w:rFonts w:ascii="宋体" w:hAnsi="宋体" w:eastAsia="宋体" w:cs="宋体"/>
                <w:color w:val="000000"/>
                <w:szCs w:val="21"/>
              </w:rPr>
            </w:pPr>
            <w:r>
              <w:rPr>
                <w:rFonts w:hint="eastAsia" w:ascii="宋体" w:hAnsi="宋体" w:eastAsia="宋体" w:cs="宋体"/>
                <w:color w:val="000000"/>
                <w:szCs w:val="21"/>
              </w:rPr>
              <w:t>LAS</w:t>
            </w:r>
          </w:p>
        </w:tc>
        <w:tc>
          <w:tcPr>
            <w:tcW w:w="6353" w:type="dxa"/>
            <w:tcBorders>
              <w:bottom w:val="single" w:color="auto" w:sz="12" w:space="0"/>
              <w:right w:val="nil"/>
            </w:tcBorders>
          </w:tcPr>
          <w:p>
            <w:pPr>
              <w:spacing w:line="360" w:lineRule="exact"/>
              <w:jc w:val="center"/>
              <w:rPr>
                <w:rFonts w:ascii="宋体" w:hAnsi="宋体" w:eastAsia="宋体" w:cs="宋体"/>
                <w:szCs w:val="21"/>
              </w:rPr>
            </w:pPr>
            <w:r>
              <w:rPr>
                <w:rFonts w:hint="eastAsia" w:ascii="宋体" w:hAnsi="宋体" w:eastAsia="宋体" w:cs="宋体"/>
                <w:szCs w:val="21"/>
              </w:rPr>
              <w:t>亚甲蓝分光光度法 GB7494-87</w:t>
            </w:r>
          </w:p>
        </w:tc>
      </w:tr>
    </w:tbl>
    <w:p>
      <w:pPr>
        <w:jc w:val="left"/>
        <w:rPr>
          <w:rFonts w:ascii="宋体" w:hAnsi="宋体" w:eastAsia="宋体" w:cs="宋体"/>
          <w:b/>
          <w:sz w:val="18"/>
          <w:szCs w:val="18"/>
        </w:rPr>
      </w:pPr>
    </w:p>
    <w:p>
      <w:pPr>
        <w:jc w:val="left"/>
        <w:outlineLvl w:val="1"/>
        <w:rPr>
          <w:rFonts w:ascii="宋体" w:hAnsi="宋体" w:eastAsia="宋体" w:cs="宋体"/>
          <w:b/>
          <w:sz w:val="28"/>
        </w:rPr>
      </w:pPr>
      <w:bookmarkStart w:id="29" w:name="_Toc16507"/>
      <w:r>
        <w:rPr>
          <w:rFonts w:hint="eastAsia" w:ascii="宋体" w:hAnsi="宋体" w:eastAsia="宋体" w:cs="宋体"/>
          <w:b/>
          <w:sz w:val="28"/>
        </w:rPr>
        <w:t>7.3质量保证和质量控制</w:t>
      </w:r>
      <w:bookmarkEnd w:id="29"/>
    </w:p>
    <w:p>
      <w:pPr>
        <w:ind w:firstLine="560" w:firstLineChars="200"/>
        <w:jc w:val="left"/>
        <w:rPr>
          <w:rFonts w:ascii="宋体" w:hAnsi="宋体" w:eastAsia="宋体" w:cs="宋体"/>
          <w:sz w:val="28"/>
        </w:rPr>
      </w:pPr>
      <w:r>
        <w:rPr>
          <w:rFonts w:hint="eastAsia" w:ascii="宋体" w:hAnsi="宋体" w:eastAsia="宋体" w:cs="宋体"/>
          <w:sz w:val="28"/>
        </w:rPr>
        <w:t>废气监测仪器均符合国家有关标准或技术要求，监测前对使用的仪器均进行浓度校准，采样和分析过程严格按照HJ/T38-1999 和《空气和废气监测分析方法》（第四版）、《水和废水分析方法》（第四版）进行。</w:t>
      </w:r>
    </w:p>
    <w:p>
      <w:pPr>
        <w:spacing w:line="360" w:lineRule="auto"/>
        <w:ind w:firstLine="560" w:firstLineChars="200"/>
        <w:rPr>
          <w:rFonts w:ascii="宋体" w:hAnsi="宋体" w:eastAsia="宋体" w:cs="宋体"/>
          <w:b/>
          <w:bCs/>
          <w:sz w:val="13"/>
          <w:szCs w:val="13"/>
        </w:rPr>
      </w:pPr>
      <w:r>
        <w:rPr>
          <w:rFonts w:hint="eastAsia" w:ascii="宋体" w:hAnsi="宋体" w:eastAsia="宋体" w:cs="宋体"/>
          <w:sz w:val="28"/>
        </w:rPr>
        <w:t>噪声仪在使用前后用声校准器校准，校准读数偏差不大于0.5dB(A)。</w:t>
      </w:r>
    </w:p>
    <w:p>
      <w:pPr>
        <w:spacing w:line="360" w:lineRule="auto"/>
        <w:outlineLvl w:val="1"/>
        <w:rPr>
          <w:rFonts w:ascii="宋体" w:hAnsi="宋体" w:eastAsia="宋体" w:cs="宋体"/>
          <w:b/>
          <w:bCs/>
          <w:sz w:val="28"/>
          <w:szCs w:val="28"/>
        </w:rPr>
      </w:pPr>
      <w:bookmarkStart w:id="30" w:name="_Toc25301"/>
      <w:r>
        <w:rPr>
          <w:rFonts w:hint="eastAsia" w:ascii="宋体" w:hAnsi="宋体" w:eastAsia="宋体" w:cs="宋体"/>
          <w:b/>
          <w:bCs/>
          <w:sz w:val="28"/>
          <w:szCs w:val="28"/>
        </w:rPr>
        <w:t>7.4监测结果分析</w:t>
      </w:r>
      <w:bookmarkEnd w:id="30"/>
    </w:p>
    <w:p>
      <w:pPr>
        <w:spacing w:line="360" w:lineRule="auto"/>
        <w:ind w:firstLine="560"/>
        <w:rPr>
          <w:rFonts w:ascii="宋体" w:hAnsi="宋体"/>
          <w:color w:val="000000" w:themeColor="text1"/>
          <w:sz w:val="28"/>
        </w:rPr>
      </w:pPr>
      <w:r>
        <w:rPr>
          <w:rFonts w:hint="eastAsia" w:ascii="宋体" w:hAnsi="宋体"/>
          <w:sz w:val="28"/>
        </w:rPr>
        <w:t>废气污染物排放监测结果见表7-2、7-3，监测报告见</w:t>
      </w:r>
      <w:r>
        <w:rPr>
          <w:rFonts w:hint="eastAsia" w:ascii="宋体" w:hAnsi="宋体" w:eastAsia="宋体" w:cs="宋体"/>
          <w:color w:val="000000" w:themeColor="text1"/>
          <w:sz w:val="28"/>
        </w:rPr>
        <w:t>附件7</w:t>
      </w:r>
      <w:r>
        <w:rPr>
          <w:rFonts w:hint="eastAsia" w:ascii="宋体" w:hAnsi="宋体"/>
          <w:color w:val="000000" w:themeColor="text1"/>
          <w:sz w:val="28"/>
        </w:rPr>
        <w:t>。</w:t>
      </w:r>
    </w:p>
    <w:p>
      <w:pPr>
        <w:spacing w:line="360" w:lineRule="auto"/>
        <w:rPr>
          <w:rFonts w:ascii="宋体" w:hAnsi="宋体" w:eastAsia="宋体" w:cs="宋体"/>
          <w:sz w:val="28"/>
          <w:szCs w:val="28"/>
        </w:rPr>
      </w:pPr>
      <w:r>
        <w:rPr>
          <w:rFonts w:hint="eastAsia" w:ascii="宋体" w:hAnsi="宋体"/>
          <w:color w:val="000000" w:themeColor="text1"/>
          <w:sz w:val="28"/>
        </w:rPr>
        <w:t>从表</w:t>
      </w:r>
      <w:r>
        <w:rPr>
          <w:rFonts w:hint="eastAsia" w:ascii="宋体" w:hAnsi="宋体"/>
          <w:sz w:val="28"/>
        </w:rPr>
        <w:t>7-2、7-3</w:t>
      </w:r>
      <w:r>
        <w:rPr>
          <w:rFonts w:hint="eastAsia" w:ascii="宋体" w:hAnsi="宋体"/>
          <w:color w:val="000000" w:themeColor="text1"/>
          <w:sz w:val="28"/>
        </w:rPr>
        <w:t>中可知，北锅炉房排气筒出口烟尘、SO</w:t>
      </w:r>
      <w:r>
        <w:rPr>
          <w:rFonts w:hint="eastAsia" w:ascii="宋体" w:hAnsi="宋体"/>
          <w:color w:val="000000" w:themeColor="text1"/>
          <w:sz w:val="28"/>
          <w:vertAlign w:val="subscript"/>
        </w:rPr>
        <w:t>2</w:t>
      </w:r>
      <w:r>
        <w:rPr>
          <w:rFonts w:hint="eastAsia" w:ascii="宋体" w:hAnsi="宋体"/>
          <w:color w:val="000000" w:themeColor="text1"/>
          <w:sz w:val="28"/>
        </w:rPr>
        <w:t>、NO</w:t>
      </w:r>
      <w:r>
        <w:rPr>
          <w:rFonts w:hint="eastAsia" w:ascii="宋体" w:hAnsi="宋体"/>
          <w:color w:val="000000" w:themeColor="text1"/>
          <w:sz w:val="28"/>
          <w:vertAlign w:val="subscript"/>
        </w:rPr>
        <w:t>X</w:t>
      </w:r>
      <w:r>
        <w:rPr>
          <w:rFonts w:hint="eastAsia" w:ascii="宋体" w:hAnsi="宋体"/>
          <w:color w:val="000000" w:themeColor="text1"/>
          <w:sz w:val="28"/>
        </w:rPr>
        <w:t>折算浓度最大值分别为10.6</w:t>
      </w:r>
      <w:r>
        <w:rPr>
          <w:rFonts w:hint="eastAsia" w:ascii="宋体" w:hAnsi="宋体" w:eastAsia="宋体" w:cs="宋体"/>
          <w:bCs/>
          <w:sz w:val="28"/>
          <w:szCs w:val="28"/>
        </w:rPr>
        <w:t>mg/m</w:t>
      </w:r>
      <w:r>
        <w:rPr>
          <w:rFonts w:hint="eastAsia" w:ascii="宋体" w:hAnsi="宋体" w:eastAsia="宋体" w:cs="宋体"/>
          <w:bCs/>
          <w:sz w:val="28"/>
          <w:szCs w:val="28"/>
          <w:vertAlign w:val="superscript"/>
        </w:rPr>
        <w:t>3</w:t>
      </w:r>
      <w:r>
        <w:rPr>
          <w:rFonts w:hint="eastAsia" w:ascii="宋体" w:hAnsi="宋体" w:eastAsia="宋体" w:cs="宋体"/>
          <w:color w:val="000000" w:themeColor="text1"/>
          <w:sz w:val="28"/>
        </w:rPr>
        <w:t>、11</w:t>
      </w:r>
      <w:r>
        <w:rPr>
          <w:rFonts w:hint="eastAsia" w:ascii="宋体" w:hAnsi="宋体" w:eastAsia="宋体" w:cs="宋体"/>
          <w:bCs/>
          <w:sz w:val="28"/>
          <w:szCs w:val="28"/>
        </w:rPr>
        <w:t xml:space="preserve"> mg/m</w:t>
      </w:r>
      <w:r>
        <w:rPr>
          <w:rFonts w:hint="eastAsia" w:ascii="宋体" w:hAnsi="宋体" w:eastAsia="宋体" w:cs="宋体"/>
          <w:bCs/>
          <w:sz w:val="28"/>
          <w:szCs w:val="28"/>
          <w:vertAlign w:val="superscript"/>
        </w:rPr>
        <w:t>3</w:t>
      </w:r>
      <w:r>
        <w:rPr>
          <w:rFonts w:hint="eastAsia" w:ascii="宋体" w:hAnsi="宋体" w:eastAsia="宋体" w:cs="宋体"/>
          <w:color w:val="000000" w:themeColor="text1"/>
          <w:sz w:val="28"/>
        </w:rPr>
        <w:t>、76</w:t>
      </w:r>
      <w:r>
        <w:rPr>
          <w:rFonts w:hint="eastAsia" w:ascii="宋体" w:hAnsi="宋体" w:eastAsia="宋体" w:cs="宋体"/>
          <w:bCs/>
          <w:sz w:val="28"/>
          <w:szCs w:val="28"/>
        </w:rPr>
        <w:t xml:space="preserve"> mg/m</w:t>
      </w:r>
      <w:r>
        <w:rPr>
          <w:rFonts w:hint="eastAsia" w:ascii="宋体" w:hAnsi="宋体" w:eastAsia="宋体" w:cs="宋体"/>
          <w:bCs/>
          <w:sz w:val="28"/>
          <w:szCs w:val="28"/>
          <w:vertAlign w:val="superscript"/>
        </w:rPr>
        <w:t>3</w:t>
      </w:r>
      <w:r>
        <w:rPr>
          <w:rFonts w:hint="eastAsia" w:ascii="宋体" w:hAnsi="宋体"/>
          <w:color w:val="000000" w:themeColor="text1"/>
          <w:sz w:val="28"/>
        </w:rPr>
        <w:t>、林格曼黑度小于1；南锅炉房排气筒出口烟尘、SO</w:t>
      </w:r>
      <w:r>
        <w:rPr>
          <w:rFonts w:hint="eastAsia" w:ascii="宋体" w:hAnsi="宋体"/>
          <w:color w:val="000000" w:themeColor="text1"/>
          <w:sz w:val="28"/>
          <w:vertAlign w:val="subscript"/>
        </w:rPr>
        <w:t>2</w:t>
      </w:r>
      <w:r>
        <w:rPr>
          <w:rFonts w:hint="eastAsia" w:ascii="宋体" w:hAnsi="宋体"/>
          <w:color w:val="000000" w:themeColor="text1"/>
          <w:sz w:val="28"/>
        </w:rPr>
        <w:t>、NO</w:t>
      </w:r>
      <w:r>
        <w:rPr>
          <w:rFonts w:hint="eastAsia" w:ascii="宋体" w:hAnsi="宋体"/>
          <w:color w:val="000000" w:themeColor="text1"/>
          <w:sz w:val="28"/>
          <w:vertAlign w:val="subscript"/>
        </w:rPr>
        <w:t>X</w:t>
      </w:r>
      <w:r>
        <w:rPr>
          <w:rFonts w:hint="eastAsia" w:ascii="宋体" w:hAnsi="宋体"/>
          <w:color w:val="000000" w:themeColor="text1"/>
          <w:sz w:val="28"/>
        </w:rPr>
        <w:t>折算浓度最大值分别为10.7</w:t>
      </w:r>
      <w:r>
        <w:rPr>
          <w:rFonts w:hint="eastAsia" w:ascii="宋体" w:hAnsi="宋体" w:eastAsia="宋体" w:cs="宋体"/>
          <w:bCs/>
          <w:sz w:val="28"/>
          <w:szCs w:val="28"/>
        </w:rPr>
        <w:t>mg/m</w:t>
      </w:r>
      <w:r>
        <w:rPr>
          <w:rFonts w:hint="eastAsia" w:ascii="宋体" w:hAnsi="宋体" w:eastAsia="宋体" w:cs="宋体"/>
          <w:bCs/>
          <w:sz w:val="28"/>
          <w:szCs w:val="28"/>
          <w:vertAlign w:val="superscript"/>
        </w:rPr>
        <w:t>3</w:t>
      </w:r>
      <w:r>
        <w:rPr>
          <w:rFonts w:hint="eastAsia" w:ascii="宋体" w:hAnsi="宋体" w:eastAsia="宋体" w:cs="宋体"/>
          <w:color w:val="000000" w:themeColor="text1"/>
          <w:sz w:val="28"/>
        </w:rPr>
        <w:t>、13</w:t>
      </w:r>
      <w:r>
        <w:rPr>
          <w:rFonts w:hint="eastAsia" w:ascii="宋体" w:hAnsi="宋体" w:eastAsia="宋体" w:cs="宋体"/>
          <w:bCs/>
          <w:sz w:val="28"/>
          <w:szCs w:val="28"/>
        </w:rPr>
        <w:t xml:space="preserve"> mg/m</w:t>
      </w:r>
      <w:r>
        <w:rPr>
          <w:rFonts w:hint="eastAsia" w:ascii="宋体" w:hAnsi="宋体" w:eastAsia="宋体" w:cs="宋体"/>
          <w:bCs/>
          <w:sz w:val="28"/>
          <w:szCs w:val="28"/>
          <w:vertAlign w:val="superscript"/>
        </w:rPr>
        <w:t>3</w:t>
      </w:r>
      <w:r>
        <w:rPr>
          <w:rFonts w:hint="eastAsia" w:ascii="宋体" w:hAnsi="宋体" w:eastAsia="宋体" w:cs="宋体"/>
          <w:color w:val="000000" w:themeColor="text1"/>
          <w:sz w:val="28"/>
        </w:rPr>
        <w:t>、54</w:t>
      </w:r>
      <w:r>
        <w:rPr>
          <w:rFonts w:hint="eastAsia" w:ascii="宋体" w:hAnsi="宋体" w:eastAsia="宋体" w:cs="宋体"/>
          <w:bCs/>
          <w:sz w:val="28"/>
          <w:szCs w:val="28"/>
        </w:rPr>
        <w:t xml:space="preserve"> mg/m</w:t>
      </w:r>
      <w:r>
        <w:rPr>
          <w:rFonts w:hint="eastAsia" w:ascii="宋体" w:hAnsi="宋体" w:eastAsia="宋体" w:cs="宋体"/>
          <w:bCs/>
          <w:sz w:val="28"/>
          <w:szCs w:val="28"/>
          <w:vertAlign w:val="superscript"/>
        </w:rPr>
        <w:t>3</w:t>
      </w:r>
      <w:r>
        <w:rPr>
          <w:rFonts w:hint="eastAsia" w:ascii="宋体" w:hAnsi="宋体"/>
          <w:color w:val="000000" w:themeColor="text1"/>
          <w:sz w:val="28"/>
        </w:rPr>
        <w:t>、林格曼黑度小于1。正常工况下，</w:t>
      </w:r>
      <w:r>
        <w:rPr>
          <w:rFonts w:hint="eastAsia" w:ascii="宋体" w:hAnsi="宋体" w:eastAsia="宋体" w:cs="宋体"/>
          <w:color w:val="000000" w:themeColor="text1"/>
          <w:sz w:val="28"/>
        </w:rPr>
        <w:t>各污染物浓度限值均</w:t>
      </w:r>
      <w:r>
        <w:rPr>
          <w:rFonts w:hint="eastAsia" w:ascii="宋体" w:hAnsi="宋体" w:eastAsia="宋体" w:cs="宋体"/>
          <w:color w:val="000000" w:themeColor="text1"/>
          <w:sz w:val="28"/>
          <w:szCs w:val="28"/>
        </w:rPr>
        <w:t>满足《锅炉大气污染物综合排放标准》（GB13271-2014）</w:t>
      </w:r>
      <w:r>
        <w:rPr>
          <w:rFonts w:hint="eastAsia" w:ascii="宋体" w:hAnsi="宋体" w:eastAsia="宋体" w:cs="宋体"/>
          <w:sz w:val="28"/>
          <w:szCs w:val="28"/>
        </w:rPr>
        <w:t>表2 浓度限值要求。</w:t>
      </w:r>
    </w:p>
    <w:p>
      <w:pPr>
        <w:jc w:val="center"/>
        <w:rPr>
          <w:rFonts w:ascii="宋体" w:hAnsi="宋体" w:eastAsia="宋体" w:cs="宋体"/>
          <w:b/>
          <w:bCs/>
          <w:szCs w:val="21"/>
        </w:rPr>
      </w:pPr>
      <w:r>
        <w:rPr>
          <w:rFonts w:hint="eastAsia" w:ascii="宋体" w:hAnsi="宋体" w:eastAsia="宋体" w:cs="宋体"/>
          <w:b/>
          <w:bCs/>
          <w:szCs w:val="21"/>
        </w:rPr>
        <w:t>表7-2   北采暖锅炉检测结果</w:t>
      </w:r>
    </w:p>
    <w:tbl>
      <w:tblPr>
        <w:tblStyle w:val="11"/>
        <w:tblW w:w="8641" w:type="dxa"/>
        <w:tblInd w:w="0" w:type="dxa"/>
        <w:tblLayout w:type="fixed"/>
        <w:tblCellMar>
          <w:top w:w="0" w:type="dxa"/>
          <w:left w:w="108" w:type="dxa"/>
          <w:bottom w:w="0" w:type="dxa"/>
          <w:right w:w="108" w:type="dxa"/>
        </w:tblCellMar>
      </w:tblPr>
      <w:tblGrid>
        <w:gridCol w:w="697"/>
        <w:gridCol w:w="1793"/>
        <w:gridCol w:w="919"/>
        <w:gridCol w:w="989"/>
        <w:gridCol w:w="824"/>
        <w:gridCol w:w="923"/>
        <w:gridCol w:w="804"/>
        <w:gridCol w:w="816"/>
        <w:gridCol w:w="876"/>
      </w:tblGrid>
      <w:tr>
        <w:tblPrEx>
          <w:tblLayout w:type="fixed"/>
          <w:tblCellMar>
            <w:top w:w="0" w:type="dxa"/>
            <w:left w:w="108" w:type="dxa"/>
            <w:bottom w:w="0" w:type="dxa"/>
            <w:right w:w="108" w:type="dxa"/>
          </w:tblCellMar>
        </w:tblPrEx>
        <w:trPr>
          <w:trHeight w:val="338" w:hRule="atLeast"/>
        </w:trPr>
        <w:tc>
          <w:tcPr>
            <w:tcW w:w="697" w:type="dxa"/>
            <w:vMerge w:val="restart"/>
            <w:tcBorders>
              <w:top w:val="single" w:color="auto" w:sz="12" w:space="0"/>
              <w:left w:val="nil"/>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采样点位</w:t>
            </w:r>
          </w:p>
        </w:tc>
        <w:tc>
          <w:tcPr>
            <w:tcW w:w="1793" w:type="dxa"/>
            <w:vMerge w:val="restart"/>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测试项目</w:t>
            </w:r>
          </w:p>
        </w:tc>
        <w:tc>
          <w:tcPr>
            <w:tcW w:w="919" w:type="dxa"/>
            <w:vMerge w:val="restart"/>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单位</w:t>
            </w:r>
          </w:p>
        </w:tc>
        <w:tc>
          <w:tcPr>
            <w:tcW w:w="2736" w:type="dxa"/>
            <w:gridSpan w:val="3"/>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2018.01.31</w:t>
            </w:r>
          </w:p>
        </w:tc>
        <w:tc>
          <w:tcPr>
            <w:tcW w:w="2496" w:type="dxa"/>
            <w:gridSpan w:val="3"/>
            <w:tcBorders>
              <w:top w:val="single" w:color="auto" w:sz="12"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2018.02.01</w:t>
            </w:r>
          </w:p>
        </w:tc>
      </w:tr>
      <w:tr>
        <w:tblPrEx>
          <w:tblLayout w:type="fixed"/>
          <w:tblCellMar>
            <w:top w:w="0" w:type="dxa"/>
            <w:left w:w="108" w:type="dxa"/>
            <w:bottom w:w="0" w:type="dxa"/>
            <w:right w:w="108" w:type="dxa"/>
          </w:tblCellMar>
        </w:tblPrEx>
        <w:trPr>
          <w:trHeight w:val="393" w:hRule="atLeast"/>
        </w:trPr>
        <w:tc>
          <w:tcPr>
            <w:tcW w:w="697" w:type="dxa"/>
            <w:vMerge w:val="continue"/>
            <w:tcBorders>
              <w:top w:val="single" w:color="auto" w:sz="4" w:space="0"/>
              <w:left w:val="nil"/>
              <w:bottom w:val="single" w:color="auto" w:sz="12" w:space="0"/>
              <w:right w:val="single" w:color="auto" w:sz="4" w:space="0"/>
            </w:tcBorders>
            <w:vAlign w:val="center"/>
          </w:tcPr>
          <w:p>
            <w:pPr>
              <w:widowControl/>
              <w:jc w:val="left"/>
              <w:rPr>
                <w:rFonts w:ascii="宋体" w:hAnsi="宋体" w:eastAsia="宋体" w:cs="宋体"/>
                <w:kern w:val="0"/>
                <w:szCs w:val="21"/>
              </w:rPr>
            </w:pPr>
          </w:p>
        </w:tc>
        <w:tc>
          <w:tcPr>
            <w:tcW w:w="179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宋体" w:hAnsi="宋体" w:eastAsia="宋体" w:cs="宋体"/>
                <w:kern w:val="0"/>
                <w:szCs w:val="21"/>
              </w:rPr>
            </w:pPr>
          </w:p>
        </w:tc>
        <w:tc>
          <w:tcPr>
            <w:tcW w:w="919"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宋体" w:hAnsi="宋体" w:eastAsia="宋体" w:cs="宋体"/>
                <w:kern w:val="0"/>
                <w:szCs w:val="21"/>
              </w:rPr>
            </w:pPr>
          </w:p>
        </w:tc>
        <w:tc>
          <w:tcPr>
            <w:tcW w:w="989" w:type="dxa"/>
            <w:tcBorders>
              <w:top w:val="single" w:color="auto" w:sz="4" w:space="0"/>
              <w:left w:val="single" w:color="auto" w:sz="4" w:space="0"/>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第1次</w:t>
            </w:r>
          </w:p>
        </w:tc>
        <w:tc>
          <w:tcPr>
            <w:tcW w:w="824" w:type="dxa"/>
            <w:tcBorders>
              <w:top w:val="single" w:color="auto" w:sz="4" w:space="0"/>
              <w:left w:val="single" w:color="auto" w:sz="4" w:space="0"/>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第2次</w:t>
            </w:r>
          </w:p>
        </w:tc>
        <w:tc>
          <w:tcPr>
            <w:tcW w:w="923" w:type="dxa"/>
            <w:tcBorders>
              <w:top w:val="single" w:color="auto" w:sz="4" w:space="0"/>
              <w:left w:val="single" w:color="auto" w:sz="4" w:space="0"/>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第3次</w:t>
            </w:r>
          </w:p>
        </w:tc>
        <w:tc>
          <w:tcPr>
            <w:tcW w:w="804" w:type="dxa"/>
            <w:tcBorders>
              <w:top w:val="single" w:color="auto" w:sz="4" w:space="0"/>
              <w:left w:val="single" w:color="auto" w:sz="4" w:space="0"/>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第1次</w:t>
            </w:r>
          </w:p>
        </w:tc>
        <w:tc>
          <w:tcPr>
            <w:tcW w:w="816" w:type="dxa"/>
            <w:tcBorders>
              <w:top w:val="single" w:color="auto" w:sz="4" w:space="0"/>
              <w:left w:val="single" w:color="auto" w:sz="4" w:space="0"/>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第2次</w:t>
            </w:r>
          </w:p>
        </w:tc>
        <w:tc>
          <w:tcPr>
            <w:tcW w:w="876" w:type="dxa"/>
            <w:tcBorders>
              <w:top w:val="single" w:color="auto" w:sz="4" w:space="0"/>
              <w:left w:val="single" w:color="auto" w:sz="4" w:space="0"/>
              <w:bottom w:val="single" w:color="auto" w:sz="12"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第3次</w:t>
            </w:r>
          </w:p>
        </w:tc>
      </w:tr>
      <w:tr>
        <w:tblPrEx>
          <w:tblLayout w:type="fixed"/>
          <w:tblCellMar>
            <w:top w:w="0" w:type="dxa"/>
            <w:left w:w="108" w:type="dxa"/>
            <w:bottom w:w="0" w:type="dxa"/>
            <w:right w:w="108" w:type="dxa"/>
          </w:tblCellMar>
        </w:tblPrEx>
        <w:trPr>
          <w:trHeight w:val="454" w:hRule="atLeast"/>
        </w:trPr>
        <w:tc>
          <w:tcPr>
            <w:tcW w:w="697" w:type="dxa"/>
            <w:vMerge w:val="restart"/>
            <w:tcBorders>
              <w:top w:val="single" w:color="auto" w:sz="12" w:space="0"/>
              <w:left w:val="nil"/>
              <w:bottom w:val="single" w:color="auto" w:sz="4" w:space="0"/>
              <w:right w:val="single" w:color="auto" w:sz="4" w:space="0"/>
            </w:tcBorders>
            <w:vAlign w:val="center"/>
          </w:tcPr>
          <w:p>
            <w:pPr>
              <w:widowControl/>
              <w:jc w:val="center"/>
              <w:rPr>
                <w:rFonts w:ascii="宋体" w:hAnsi="宋体" w:eastAsia="宋体" w:cs="宋体"/>
                <w:b/>
                <w:bCs/>
                <w:kern w:val="0"/>
                <w:szCs w:val="21"/>
              </w:rPr>
            </w:pPr>
            <w:r>
              <w:rPr>
                <w:rFonts w:hint="eastAsia" w:ascii="宋体" w:hAnsi="宋体" w:eastAsia="宋体" w:cs="宋体"/>
                <w:kern w:val="0"/>
                <w:szCs w:val="21"/>
              </w:rPr>
              <w:t>出口</w:t>
            </w:r>
          </w:p>
        </w:tc>
        <w:tc>
          <w:tcPr>
            <w:tcW w:w="1793"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烟气标干流量</w:t>
            </w:r>
          </w:p>
        </w:tc>
        <w:tc>
          <w:tcPr>
            <w:tcW w:w="919"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Nm</w:t>
            </w:r>
            <w:r>
              <w:rPr>
                <w:rFonts w:hint="eastAsia" w:ascii="宋体" w:hAnsi="宋体" w:eastAsia="宋体" w:cs="宋体"/>
                <w:kern w:val="0"/>
                <w:szCs w:val="21"/>
                <w:vertAlign w:val="superscript"/>
              </w:rPr>
              <w:t>3</w:t>
            </w:r>
            <w:r>
              <w:rPr>
                <w:rFonts w:hint="eastAsia" w:ascii="宋体" w:hAnsi="宋体" w:eastAsia="宋体" w:cs="宋体"/>
                <w:kern w:val="0"/>
                <w:szCs w:val="21"/>
              </w:rPr>
              <w:t>/h</w:t>
            </w:r>
          </w:p>
        </w:tc>
        <w:tc>
          <w:tcPr>
            <w:tcW w:w="989"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1596</w:t>
            </w:r>
          </w:p>
        </w:tc>
        <w:tc>
          <w:tcPr>
            <w:tcW w:w="824"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1464</w:t>
            </w:r>
          </w:p>
        </w:tc>
        <w:tc>
          <w:tcPr>
            <w:tcW w:w="923"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1534</w:t>
            </w:r>
          </w:p>
        </w:tc>
        <w:tc>
          <w:tcPr>
            <w:tcW w:w="804"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1578</w:t>
            </w:r>
          </w:p>
        </w:tc>
        <w:tc>
          <w:tcPr>
            <w:tcW w:w="816"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1612</w:t>
            </w:r>
          </w:p>
        </w:tc>
        <w:tc>
          <w:tcPr>
            <w:tcW w:w="876" w:type="dxa"/>
            <w:tcBorders>
              <w:top w:val="single" w:color="auto" w:sz="12"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1534</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烟温</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169.0</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171.3</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170.0</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167.2</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169.0</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170.6</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含氧量</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5.5</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5.8</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5.7</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5.7</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5.6</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5.6</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烟尘实测浓度</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9.3</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8.8</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8.0</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9.3</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9.1</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8.4</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烟尘折算浓度</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10.4</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10.2</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9.2</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10.6</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10.4</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9.5</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烟尘排放速率</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kg/h</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0.01</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0.01</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0.01</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SO</w:t>
            </w:r>
            <w:r>
              <w:rPr>
                <w:rFonts w:hint="eastAsia" w:ascii="宋体" w:hAnsi="宋体" w:eastAsia="宋体" w:cs="宋体"/>
                <w:kern w:val="0"/>
                <w:szCs w:val="21"/>
                <w:vertAlign w:val="subscript"/>
              </w:rPr>
              <w:t>2</w:t>
            </w:r>
            <w:r>
              <w:rPr>
                <w:rFonts w:hint="eastAsia" w:ascii="宋体" w:hAnsi="宋体" w:eastAsia="宋体" w:cs="宋体"/>
                <w:kern w:val="0"/>
                <w:szCs w:val="21"/>
              </w:rPr>
              <w:t>实测浓度</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8</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8</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7</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SO</w:t>
            </w:r>
            <w:r>
              <w:rPr>
                <w:rFonts w:hint="eastAsia" w:ascii="宋体" w:hAnsi="宋体" w:eastAsia="宋体" w:cs="宋体"/>
                <w:kern w:val="0"/>
                <w:szCs w:val="21"/>
                <w:vertAlign w:val="subscript"/>
              </w:rPr>
              <w:t>2</w:t>
            </w:r>
            <w:r>
              <w:rPr>
                <w:rFonts w:hint="eastAsia" w:ascii="宋体" w:hAnsi="宋体" w:eastAsia="宋体" w:cs="宋体"/>
                <w:kern w:val="0"/>
                <w:szCs w:val="21"/>
              </w:rPr>
              <w:t>折算浓度</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11</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8</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SO</w:t>
            </w:r>
            <w:r>
              <w:rPr>
                <w:rFonts w:hint="eastAsia" w:ascii="宋体" w:hAnsi="宋体" w:eastAsia="宋体" w:cs="宋体"/>
                <w:kern w:val="0"/>
                <w:szCs w:val="21"/>
                <w:vertAlign w:val="subscript"/>
              </w:rPr>
              <w:t>2</w:t>
            </w:r>
            <w:r>
              <w:rPr>
                <w:rFonts w:hint="eastAsia" w:ascii="宋体" w:hAnsi="宋体" w:eastAsia="宋体" w:cs="宋体"/>
                <w:kern w:val="0"/>
                <w:szCs w:val="21"/>
              </w:rPr>
              <w:t>排放速率</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kg/h</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0.01</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0.01</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0.01</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0.01</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0.01</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NOx实测浓度</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67</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58</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62</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61</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60</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59</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NOx折算浓度</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76</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66</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71</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69</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68</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67</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NOx排放速率</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kg/h</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0.11</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0.08</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0.10</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0.10</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0.10</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0.09</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CO实测浓度</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178</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168</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163</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180</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184</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175</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CO折算浓度</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200</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193</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186</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205</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209</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199</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CO排放速率</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kg/h</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0.29</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0.25</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0.25</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0.28</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0.30</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0.27</w:t>
            </w:r>
          </w:p>
        </w:tc>
      </w:tr>
      <w:tr>
        <w:tblPrEx>
          <w:tblLayout w:type="fixed"/>
          <w:tblCellMar>
            <w:top w:w="0" w:type="dxa"/>
            <w:left w:w="108" w:type="dxa"/>
            <w:bottom w:w="0" w:type="dxa"/>
            <w:right w:w="108" w:type="dxa"/>
          </w:tblCellMar>
        </w:tblPrEx>
        <w:trPr>
          <w:trHeight w:val="454" w:hRule="atLeast"/>
        </w:trPr>
        <w:tc>
          <w:tcPr>
            <w:tcW w:w="697"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9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烟气黑度</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级</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r>
      <w:tr>
        <w:tblPrEx>
          <w:tblLayout w:type="fixed"/>
          <w:tblCellMar>
            <w:top w:w="0" w:type="dxa"/>
            <w:left w:w="108" w:type="dxa"/>
            <w:bottom w:w="0" w:type="dxa"/>
            <w:right w:w="108" w:type="dxa"/>
          </w:tblCellMar>
        </w:tblPrEx>
        <w:trPr>
          <w:trHeight w:val="454" w:hRule="atLeast"/>
        </w:trPr>
        <w:tc>
          <w:tcPr>
            <w:tcW w:w="2490" w:type="dxa"/>
            <w:gridSpan w:val="2"/>
            <w:tcBorders>
              <w:top w:val="single" w:color="auto" w:sz="4" w:space="0"/>
              <w:left w:val="nil"/>
              <w:bottom w:val="single" w:color="auto" w:sz="4" w:space="0"/>
              <w:right w:val="single" w:color="auto" w:sz="4" w:space="0"/>
            </w:tcBorders>
            <w:vAlign w:val="center"/>
          </w:tcPr>
          <w:p>
            <w:pPr>
              <w:widowControl/>
              <w:jc w:val="center"/>
              <w:rPr>
                <w:rFonts w:ascii="宋体" w:hAnsi="宋体" w:eastAsia="宋体" w:cs="宋体"/>
                <w:b/>
                <w:bCs/>
                <w:kern w:val="0"/>
                <w:szCs w:val="21"/>
              </w:rPr>
            </w:pPr>
            <w:r>
              <w:rPr>
                <w:rFonts w:hint="eastAsia" w:ascii="宋体" w:hAnsi="宋体" w:eastAsia="宋体" w:cs="宋体"/>
                <w:b/>
                <w:bCs/>
                <w:kern w:val="0"/>
                <w:szCs w:val="21"/>
              </w:rPr>
              <w:t>评价标准</w:t>
            </w:r>
          </w:p>
        </w:tc>
        <w:tc>
          <w:tcPr>
            <w:tcW w:w="91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颗粒物</w:t>
            </w:r>
          </w:p>
        </w:tc>
        <w:tc>
          <w:tcPr>
            <w:tcW w:w="9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20mg/m</w:t>
            </w:r>
            <w:r>
              <w:rPr>
                <w:rFonts w:hint="eastAsia" w:ascii="宋体" w:hAnsi="宋体" w:eastAsia="宋体" w:cs="宋体"/>
                <w:kern w:val="0"/>
                <w:szCs w:val="21"/>
                <w:vertAlign w:val="superscript"/>
              </w:rPr>
              <w:t>3</w:t>
            </w:r>
          </w:p>
        </w:tc>
        <w:tc>
          <w:tcPr>
            <w:tcW w:w="8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SO</w:t>
            </w:r>
            <w:r>
              <w:rPr>
                <w:rFonts w:hint="eastAsia" w:ascii="宋体" w:hAnsi="宋体" w:eastAsia="宋体" w:cs="宋体"/>
                <w:kern w:val="0"/>
                <w:szCs w:val="21"/>
                <w:vertAlign w:val="subscript"/>
              </w:rPr>
              <w:t>2</w:t>
            </w:r>
          </w:p>
        </w:tc>
        <w:tc>
          <w:tcPr>
            <w:tcW w:w="9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50mg/m</w:t>
            </w:r>
            <w:r>
              <w:rPr>
                <w:rFonts w:hint="eastAsia" w:ascii="宋体" w:hAnsi="宋体" w:eastAsia="宋体" w:cs="宋体"/>
                <w:kern w:val="0"/>
                <w:szCs w:val="21"/>
                <w:vertAlign w:val="superscript"/>
              </w:rPr>
              <w:t>3</w:t>
            </w:r>
          </w:p>
        </w:tc>
        <w:tc>
          <w:tcPr>
            <w:tcW w:w="8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NOx</w:t>
            </w:r>
          </w:p>
        </w:tc>
        <w:tc>
          <w:tcPr>
            <w:tcW w:w="1692" w:type="dxa"/>
            <w:gridSpan w:val="2"/>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200mg/m</w:t>
            </w:r>
            <w:r>
              <w:rPr>
                <w:rFonts w:hint="eastAsia" w:ascii="宋体" w:hAnsi="宋体" w:eastAsia="宋体" w:cs="宋体"/>
                <w:kern w:val="0"/>
                <w:szCs w:val="21"/>
                <w:vertAlign w:val="superscript"/>
              </w:rPr>
              <w:t>3</w:t>
            </w:r>
          </w:p>
        </w:tc>
      </w:tr>
      <w:tr>
        <w:tblPrEx>
          <w:tblLayout w:type="fixed"/>
          <w:tblCellMar>
            <w:top w:w="0" w:type="dxa"/>
            <w:left w:w="108" w:type="dxa"/>
            <w:bottom w:w="0" w:type="dxa"/>
            <w:right w:w="108" w:type="dxa"/>
          </w:tblCellMar>
        </w:tblPrEx>
        <w:trPr>
          <w:trHeight w:val="454" w:hRule="atLeast"/>
        </w:trPr>
        <w:tc>
          <w:tcPr>
            <w:tcW w:w="2490" w:type="dxa"/>
            <w:gridSpan w:val="2"/>
            <w:tcBorders>
              <w:top w:val="single" w:color="auto" w:sz="4" w:space="0"/>
              <w:left w:val="nil"/>
              <w:bottom w:val="single" w:color="auto" w:sz="4" w:space="0"/>
              <w:right w:val="single" w:color="auto" w:sz="4" w:space="0"/>
            </w:tcBorders>
            <w:vAlign w:val="center"/>
          </w:tcPr>
          <w:p>
            <w:pPr>
              <w:widowControl/>
              <w:jc w:val="center"/>
              <w:rPr>
                <w:rFonts w:ascii="宋体" w:hAnsi="宋体" w:eastAsia="宋体" w:cs="宋体"/>
                <w:b/>
                <w:bCs/>
                <w:kern w:val="0"/>
                <w:szCs w:val="21"/>
              </w:rPr>
            </w:pPr>
            <w:r>
              <w:rPr>
                <w:rFonts w:hint="eastAsia" w:ascii="宋体" w:hAnsi="宋体" w:eastAsia="宋体" w:cs="宋体"/>
                <w:b/>
                <w:bCs/>
                <w:kern w:val="0"/>
                <w:szCs w:val="21"/>
              </w:rPr>
              <w:t>评价结果</w:t>
            </w:r>
          </w:p>
        </w:tc>
        <w:tc>
          <w:tcPr>
            <w:tcW w:w="1908" w:type="dxa"/>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达标</w:t>
            </w:r>
          </w:p>
        </w:tc>
        <w:tc>
          <w:tcPr>
            <w:tcW w:w="1747" w:type="dxa"/>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达标</w:t>
            </w:r>
          </w:p>
        </w:tc>
        <w:tc>
          <w:tcPr>
            <w:tcW w:w="2496" w:type="dxa"/>
            <w:gridSpan w:val="3"/>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达标</w:t>
            </w:r>
          </w:p>
        </w:tc>
      </w:tr>
      <w:tr>
        <w:tblPrEx>
          <w:tblLayout w:type="fixed"/>
          <w:tblCellMar>
            <w:top w:w="0" w:type="dxa"/>
            <w:left w:w="108" w:type="dxa"/>
            <w:bottom w:w="0" w:type="dxa"/>
            <w:right w:w="108" w:type="dxa"/>
          </w:tblCellMar>
        </w:tblPrEx>
        <w:trPr>
          <w:trHeight w:val="454" w:hRule="atLeast"/>
        </w:trPr>
        <w:tc>
          <w:tcPr>
            <w:tcW w:w="2490" w:type="dxa"/>
            <w:gridSpan w:val="2"/>
            <w:tcBorders>
              <w:top w:val="single" w:color="auto" w:sz="4" w:space="0"/>
              <w:left w:val="nil"/>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备注</w:t>
            </w:r>
          </w:p>
        </w:tc>
        <w:tc>
          <w:tcPr>
            <w:tcW w:w="6151" w:type="dxa"/>
            <w:gridSpan w:val="7"/>
            <w:tcBorders>
              <w:top w:val="single" w:color="auto" w:sz="4" w:space="0"/>
              <w:left w:val="single" w:color="auto" w:sz="4" w:space="0"/>
              <w:bottom w:val="single" w:color="auto" w:sz="12"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排气筒高度：8m，直径0.4m。</w:t>
            </w:r>
          </w:p>
        </w:tc>
      </w:tr>
    </w:tbl>
    <w:p>
      <w:pPr>
        <w:rPr>
          <w:rFonts w:ascii="宋体" w:hAnsi="宋体" w:eastAsia="宋体" w:cs="宋体"/>
          <w:szCs w:val="21"/>
        </w:rPr>
      </w:pPr>
    </w:p>
    <w:p>
      <w:pPr>
        <w:jc w:val="center"/>
        <w:rPr>
          <w:bCs/>
          <w:sz w:val="24"/>
        </w:rPr>
      </w:pPr>
      <w:r>
        <w:rPr>
          <w:rFonts w:hint="eastAsia" w:ascii="宋体" w:hAnsi="宋体" w:eastAsia="宋体" w:cs="宋体"/>
          <w:b/>
          <w:bCs/>
          <w:szCs w:val="21"/>
        </w:rPr>
        <w:t>表7-3   南采暖锅炉检测结果</w:t>
      </w:r>
    </w:p>
    <w:tbl>
      <w:tblPr>
        <w:tblStyle w:val="11"/>
        <w:tblW w:w="8718" w:type="dxa"/>
        <w:tblInd w:w="91" w:type="dxa"/>
        <w:tblLayout w:type="fixed"/>
        <w:tblCellMar>
          <w:top w:w="0" w:type="dxa"/>
          <w:left w:w="108" w:type="dxa"/>
          <w:bottom w:w="0" w:type="dxa"/>
          <w:right w:w="108" w:type="dxa"/>
        </w:tblCellMar>
      </w:tblPr>
      <w:tblGrid>
        <w:gridCol w:w="642"/>
        <w:gridCol w:w="1752"/>
        <w:gridCol w:w="960"/>
        <w:gridCol w:w="972"/>
        <w:gridCol w:w="876"/>
        <w:gridCol w:w="972"/>
        <w:gridCol w:w="816"/>
        <w:gridCol w:w="852"/>
        <w:gridCol w:w="876"/>
      </w:tblGrid>
      <w:tr>
        <w:tblPrEx>
          <w:tblLayout w:type="fixed"/>
          <w:tblCellMar>
            <w:top w:w="0" w:type="dxa"/>
            <w:left w:w="108" w:type="dxa"/>
            <w:bottom w:w="0" w:type="dxa"/>
            <w:right w:w="108" w:type="dxa"/>
          </w:tblCellMar>
        </w:tblPrEx>
        <w:trPr>
          <w:trHeight w:val="454" w:hRule="atLeast"/>
        </w:trPr>
        <w:tc>
          <w:tcPr>
            <w:tcW w:w="642" w:type="dxa"/>
            <w:vMerge w:val="restart"/>
            <w:tcBorders>
              <w:top w:val="single" w:color="auto" w:sz="12" w:space="0"/>
              <w:left w:val="nil"/>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采样点位</w:t>
            </w:r>
          </w:p>
        </w:tc>
        <w:tc>
          <w:tcPr>
            <w:tcW w:w="1752" w:type="dxa"/>
            <w:vMerge w:val="restart"/>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测试项目</w:t>
            </w:r>
          </w:p>
        </w:tc>
        <w:tc>
          <w:tcPr>
            <w:tcW w:w="960" w:type="dxa"/>
            <w:vMerge w:val="restart"/>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单位</w:t>
            </w:r>
          </w:p>
        </w:tc>
        <w:tc>
          <w:tcPr>
            <w:tcW w:w="2820" w:type="dxa"/>
            <w:gridSpan w:val="3"/>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2018.01.31</w:t>
            </w:r>
          </w:p>
        </w:tc>
        <w:tc>
          <w:tcPr>
            <w:tcW w:w="2544" w:type="dxa"/>
            <w:gridSpan w:val="3"/>
            <w:tcBorders>
              <w:top w:val="single" w:color="auto" w:sz="12"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2018.02.01</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12" w:space="0"/>
              <w:right w:val="single" w:color="auto" w:sz="4" w:space="0"/>
            </w:tcBorders>
            <w:vAlign w:val="center"/>
          </w:tcPr>
          <w:p>
            <w:pPr>
              <w:widowControl/>
              <w:jc w:val="left"/>
              <w:rPr>
                <w:rFonts w:ascii="宋体" w:hAnsi="宋体" w:eastAsia="宋体" w:cs="宋体"/>
                <w:kern w:val="0"/>
                <w:szCs w:val="21"/>
              </w:rPr>
            </w:pPr>
          </w:p>
        </w:tc>
        <w:tc>
          <w:tcPr>
            <w:tcW w:w="1752"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宋体" w:hAnsi="宋体" w:eastAsia="宋体" w:cs="宋体"/>
                <w:kern w:val="0"/>
                <w:szCs w:val="21"/>
              </w:rPr>
            </w:pPr>
          </w:p>
        </w:tc>
        <w:tc>
          <w:tcPr>
            <w:tcW w:w="960"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宋体" w:hAnsi="宋体" w:eastAsia="宋体" w:cs="宋体"/>
                <w:kern w:val="0"/>
                <w:szCs w:val="21"/>
              </w:rPr>
            </w:pPr>
          </w:p>
        </w:tc>
        <w:tc>
          <w:tcPr>
            <w:tcW w:w="972" w:type="dxa"/>
            <w:tcBorders>
              <w:top w:val="single" w:color="auto" w:sz="4" w:space="0"/>
              <w:left w:val="single" w:color="auto" w:sz="4" w:space="0"/>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第1次</w:t>
            </w:r>
          </w:p>
        </w:tc>
        <w:tc>
          <w:tcPr>
            <w:tcW w:w="876" w:type="dxa"/>
            <w:tcBorders>
              <w:top w:val="single" w:color="auto" w:sz="4" w:space="0"/>
              <w:left w:val="single" w:color="auto" w:sz="4" w:space="0"/>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第2次</w:t>
            </w:r>
          </w:p>
        </w:tc>
        <w:tc>
          <w:tcPr>
            <w:tcW w:w="972" w:type="dxa"/>
            <w:tcBorders>
              <w:top w:val="single" w:color="auto" w:sz="4" w:space="0"/>
              <w:left w:val="single" w:color="auto" w:sz="4" w:space="0"/>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第3次</w:t>
            </w:r>
          </w:p>
        </w:tc>
        <w:tc>
          <w:tcPr>
            <w:tcW w:w="816" w:type="dxa"/>
            <w:tcBorders>
              <w:top w:val="single" w:color="auto" w:sz="4" w:space="0"/>
              <w:left w:val="single" w:color="auto" w:sz="4" w:space="0"/>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第1次</w:t>
            </w:r>
          </w:p>
        </w:tc>
        <w:tc>
          <w:tcPr>
            <w:tcW w:w="852" w:type="dxa"/>
            <w:tcBorders>
              <w:top w:val="single" w:color="auto" w:sz="4" w:space="0"/>
              <w:left w:val="single" w:color="auto" w:sz="4" w:space="0"/>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第2次</w:t>
            </w:r>
          </w:p>
        </w:tc>
        <w:tc>
          <w:tcPr>
            <w:tcW w:w="876" w:type="dxa"/>
            <w:tcBorders>
              <w:top w:val="single" w:color="auto" w:sz="4" w:space="0"/>
              <w:left w:val="single" w:color="auto" w:sz="4" w:space="0"/>
              <w:bottom w:val="single" w:color="auto" w:sz="12"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第3次</w:t>
            </w:r>
          </w:p>
        </w:tc>
      </w:tr>
      <w:tr>
        <w:tblPrEx>
          <w:tblLayout w:type="fixed"/>
          <w:tblCellMar>
            <w:top w:w="0" w:type="dxa"/>
            <w:left w:w="108" w:type="dxa"/>
            <w:bottom w:w="0" w:type="dxa"/>
            <w:right w:w="108" w:type="dxa"/>
          </w:tblCellMar>
        </w:tblPrEx>
        <w:trPr>
          <w:trHeight w:val="454" w:hRule="atLeast"/>
        </w:trPr>
        <w:tc>
          <w:tcPr>
            <w:tcW w:w="642" w:type="dxa"/>
            <w:vMerge w:val="restart"/>
            <w:tcBorders>
              <w:top w:val="single" w:color="auto" w:sz="12" w:space="0"/>
              <w:left w:val="nil"/>
              <w:bottom w:val="single" w:color="auto" w:sz="4" w:space="0"/>
              <w:right w:val="single" w:color="auto" w:sz="4" w:space="0"/>
            </w:tcBorders>
            <w:vAlign w:val="center"/>
          </w:tcPr>
          <w:p>
            <w:pPr>
              <w:widowControl/>
              <w:jc w:val="center"/>
              <w:rPr>
                <w:rFonts w:ascii="宋体" w:hAnsi="宋体" w:eastAsia="宋体" w:cs="宋体"/>
                <w:b/>
                <w:bCs/>
                <w:kern w:val="0"/>
                <w:szCs w:val="21"/>
              </w:rPr>
            </w:pPr>
            <w:r>
              <w:rPr>
                <w:rFonts w:hint="eastAsia" w:ascii="宋体" w:hAnsi="宋体" w:eastAsia="宋体" w:cs="宋体"/>
                <w:kern w:val="0"/>
                <w:szCs w:val="21"/>
              </w:rPr>
              <w:t>出口</w:t>
            </w:r>
          </w:p>
        </w:tc>
        <w:tc>
          <w:tcPr>
            <w:tcW w:w="1752"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烟气标干流量</w:t>
            </w:r>
          </w:p>
        </w:tc>
        <w:tc>
          <w:tcPr>
            <w:tcW w:w="960"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Nm</w:t>
            </w:r>
            <w:r>
              <w:rPr>
                <w:rFonts w:hint="eastAsia" w:ascii="宋体" w:hAnsi="宋体" w:eastAsia="宋体" w:cs="宋体"/>
                <w:kern w:val="0"/>
                <w:szCs w:val="21"/>
                <w:vertAlign w:val="superscript"/>
              </w:rPr>
              <w:t>3</w:t>
            </w:r>
            <w:r>
              <w:rPr>
                <w:rFonts w:hint="eastAsia" w:ascii="宋体" w:hAnsi="宋体" w:eastAsia="宋体" w:cs="宋体"/>
                <w:kern w:val="0"/>
                <w:szCs w:val="21"/>
              </w:rPr>
              <w:t>/h</w:t>
            </w:r>
          </w:p>
        </w:tc>
        <w:tc>
          <w:tcPr>
            <w:tcW w:w="972"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2305</w:t>
            </w:r>
          </w:p>
        </w:tc>
        <w:tc>
          <w:tcPr>
            <w:tcW w:w="876"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2462</w:t>
            </w:r>
          </w:p>
        </w:tc>
        <w:tc>
          <w:tcPr>
            <w:tcW w:w="972"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2378</w:t>
            </w:r>
          </w:p>
        </w:tc>
        <w:tc>
          <w:tcPr>
            <w:tcW w:w="816"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2357</w:t>
            </w:r>
          </w:p>
        </w:tc>
        <w:tc>
          <w:tcPr>
            <w:tcW w:w="852" w:type="dxa"/>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2505</w:t>
            </w:r>
          </w:p>
        </w:tc>
        <w:tc>
          <w:tcPr>
            <w:tcW w:w="876" w:type="dxa"/>
            <w:tcBorders>
              <w:top w:val="single" w:color="auto" w:sz="12"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2415</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烟温</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111.6</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117.3</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115.1</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112.2</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110.3</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112.3</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含氧量</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5.7</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5.6</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5.7</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5.9</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5.6</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5.7</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烟尘实测浓度</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8.6</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7.0</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9.4</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7.1</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9.2</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8.3</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烟尘折算浓度</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9.8</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8.0</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10.7</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8.2</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10.5</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9.5</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烟尘排放速率</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kg/h</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SO</w:t>
            </w:r>
            <w:r>
              <w:rPr>
                <w:rFonts w:hint="eastAsia" w:ascii="宋体" w:hAnsi="宋体" w:eastAsia="宋体" w:cs="宋体"/>
                <w:kern w:val="0"/>
                <w:szCs w:val="21"/>
                <w:vertAlign w:val="subscript"/>
              </w:rPr>
              <w:t>2</w:t>
            </w:r>
            <w:r>
              <w:rPr>
                <w:rFonts w:hint="eastAsia" w:ascii="宋体" w:hAnsi="宋体" w:eastAsia="宋体" w:cs="宋体"/>
                <w:kern w:val="0"/>
                <w:szCs w:val="21"/>
              </w:rPr>
              <w:t>实测浓度</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11</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9</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SO</w:t>
            </w:r>
            <w:r>
              <w:rPr>
                <w:rFonts w:hint="eastAsia" w:ascii="宋体" w:hAnsi="宋体" w:eastAsia="宋体" w:cs="宋体"/>
                <w:kern w:val="0"/>
                <w:szCs w:val="21"/>
                <w:vertAlign w:val="subscript"/>
              </w:rPr>
              <w:t>2</w:t>
            </w:r>
            <w:r>
              <w:rPr>
                <w:rFonts w:hint="eastAsia" w:ascii="宋体" w:hAnsi="宋体" w:eastAsia="宋体" w:cs="宋体"/>
                <w:kern w:val="0"/>
                <w:szCs w:val="21"/>
              </w:rPr>
              <w:t>折算浓度</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10</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11</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12</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12</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13</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11</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SO</w:t>
            </w:r>
            <w:r>
              <w:rPr>
                <w:rFonts w:hint="eastAsia" w:ascii="宋体" w:hAnsi="宋体" w:eastAsia="宋体" w:cs="宋体"/>
                <w:kern w:val="0"/>
                <w:szCs w:val="21"/>
                <w:vertAlign w:val="subscript"/>
              </w:rPr>
              <w:t>2</w:t>
            </w:r>
            <w:r>
              <w:rPr>
                <w:rFonts w:hint="eastAsia" w:ascii="宋体" w:hAnsi="宋体" w:eastAsia="宋体" w:cs="宋体"/>
                <w:kern w:val="0"/>
                <w:szCs w:val="21"/>
              </w:rPr>
              <w:t>排放速率</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kg/h</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0.03</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0.02</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NOx实测浓度</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41</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43</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46</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46</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47</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47</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NOx折算浓度</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47</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48</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53</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53</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53</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54</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NOx排放速率</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kg/h</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0.10</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0.10</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0.11</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0.11</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0.12</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0.12</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CO实测浓度</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197</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191</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190</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190</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189</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190</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CO折算浓度</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mg/Nm</w:t>
            </w:r>
            <w:r>
              <w:rPr>
                <w:rFonts w:hint="eastAsia" w:ascii="宋体" w:hAnsi="宋体" w:eastAsia="宋体" w:cs="宋体"/>
                <w:kern w:val="0"/>
                <w:szCs w:val="21"/>
                <w:vertAlign w:val="superscript"/>
              </w:rPr>
              <w:t>3</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226</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217</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218</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212</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215</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218</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CO排放速率</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kg/h</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0.45</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0.47</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0.45</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0.45</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0.47</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0.46</w:t>
            </w:r>
          </w:p>
        </w:tc>
      </w:tr>
      <w:tr>
        <w:tblPrEx>
          <w:tblLayout w:type="fixed"/>
          <w:tblCellMar>
            <w:top w:w="0" w:type="dxa"/>
            <w:left w:w="108" w:type="dxa"/>
            <w:bottom w:w="0" w:type="dxa"/>
            <w:right w:w="108" w:type="dxa"/>
          </w:tblCellMar>
        </w:tblPrEx>
        <w:trPr>
          <w:trHeight w:val="454" w:hRule="atLeast"/>
        </w:trPr>
        <w:tc>
          <w:tcPr>
            <w:tcW w:w="642"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b/>
                <w:bCs/>
                <w:kern w:val="0"/>
                <w:szCs w:val="21"/>
              </w:rPr>
            </w:pPr>
          </w:p>
        </w:tc>
        <w:tc>
          <w:tcPr>
            <w:tcW w:w="17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烟气黑度</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级</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c>
          <w:tcPr>
            <w:tcW w:w="85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c>
          <w:tcPr>
            <w:tcW w:w="876"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&lt;1</w:t>
            </w:r>
          </w:p>
        </w:tc>
      </w:tr>
      <w:tr>
        <w:tblPrEx>
          <w:tblLayout w:type="fixed"/>
          <w:tblCellMar>
            <w:top w:w="0" w:type="dxa"/>
            <w:left w:w="108" w:type="dxa"/>
            <w:bottom w:w="0" w:type="dxa"/>
            <w:right w:w="108" w:type="dxa"/>
          </w:tblCellMar>
        </w:tblPrEx>
        <w:trPr>
          <w:trHeight w:val="454" w:hRule="atLeast"/>
        </w:trPr>
        <w:tc>
          <w:tcPr>
            <w:tcW w:w="2394" w:type="dxa"/>
            <w:gridSpan w:val="2"/>
            <w:tcBorders>
              <w:top w:val="single" w:color="auto" w:sz="4" w:space="0"/>
              <w:left w:val="nil"/>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b/>
                <w:bCs/>
                <w:kern w:val="0"/>
                <w:szCs w:val="21"/>
              </w:rPr>
              <w:t>评价标准</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颗粒物</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20mg/m</w:t>
            </w:r>
            <w:r>
              <w:rPr>
                <w:rFonts w:hint="eastAsia" w:ascii="宋体" w:hAnsi="宋体" w:eastAsia="宋体" w:cs="宋体"/>
                <w:kern w:val="0"/>
                <w:szCs w:val="21"/>
                <w:vertAlign w:val="superscript"/>
              </w:rPr>
              <w:t>3</w:t>
            </w:r>
          </w:p>
        </w:tc>
        <w:tc>
          <w:tcPr>
            <w:tcW w:w="87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SO</w:t>
            </w:r>
            <w:r>
              <w:rPr>
                <w:rFonts w:hint="eastAsia" w:ascii="宋体" w:hAnsi="宋体" w:eastAsia="宋体" w:cs="宋体"/>
                <w:kern w:val="0"/>
                <w:szCs w:val="21"/>
                <w:vertAlign w:val="subscript"/>
              </w:rPr>
              <w:t>2</w:t>
            </w:r>
          </w:p>
        </w:tc>
        <w:tc>
          <w:tcPr>
            <w:tcW w:w="972"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50mg/m</w:t>
            </w:r>
            <w:r>
              <w:rPr>
                <w:rFonts w:hint="eastAsia" w:ascii="宋体" w:hAnsi="宋体" w:eastAsia="宋体" w:cs="宋体"/>
                <w:kern w:val="0"/>
                <w:szCs w:val="21"/>
                <w:vertAlign w:val="superscript"/>
              </w:rPr>
              <w:t>3</w:t>
            </w:r>
          </w:p>
        </w:tc>
        <w:tc>
          <w:tcPr>
            <w:tcW w:w="8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NOx</w:t>
            </w:r>
          </w:p>
        </w:tc>
        <w:tc>
          <w:tcPr>
            <w:tcW w:w="1728" w:type="dxa"/>
            <w:gridSpan w:val="2"/>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200mg/m</w:t>
            </w:r>
            <w:r>
              <w:rPr>
                <w:rFonts w:hint="eastAsia" w:ascii="宋体" w:hAnsi="宋体" w:eastAsia="宋体" w:cs="宋体"/>
                <w:kern w:val="0"/>
                <w:szCs w:val="21"/>
                <w:vertAlign w:val="superscript"/>
              </w:rPr>
              <w:t>3</w:t>
            </w:r>
          </w:p>
        </w:tc>
      </w:tr>
      <w:tr>
        <w:tblPrEx>
          <w:tblLayout w:type="fixed"/>
          <w:tblCellMar>
            <w:top w:w="0" w:type="dxa"/>
            <w:left w:w="108" w:type="dxa"/>
            <w:bottom w:w="0" w:type="dxa"/>
            <w:right w:w="108" w:type="dxa"/>
          </w:tblCellMar>
        </w:tblPrEx>
        <w:trPr>
          <w:trHeight w:val="454" w:hRule="atLeast"/>
        </w:trPr>
        <w:tc>
          <w:tcPr>
            <w:tcW w:w="2394" w:type="dxa"/>
            <w:gridSpan w:val="2"/>
            <w:tcBorders>
              <w:top w:val="single" w:color="auto" w:sz="4" w:space="0"/>
              <w:left w:val="nil"/>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b/>
                <w:bCs/>
                <w:kern w:val="0"/>
                <w:szCs w:val="21"/>
              </w:rPr>
              <w:t>评价结果</w:t>
            </w:r>
          </w:p>
        </w:tc>
        <w:tc>
          <w:tcPr>
            <w:tcW w:w="1932" w:type="dxa"/>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达标</w:t>
            </w:r>
          </w:p>
        </w:tc>
        <w:tc>
          <w:tcPr>
            <w:tcW w:w="1848" w:type="dxa"/>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达标</w:t>
            </w:r>
          </w:p>
        </w:tc>
        <w:tc>
          <w:tcPr>
            <w:tcW w:w="2544" w:type="dxa"/>
            <w:gridSpan w:val="3"/>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达标</w:t>
            </w:r>
          </w:p>
        </w:tc>
      </w:tr>
      <w:tr>
        <w:tblPrEx>
          <w:tblLayout w:type="fixed"/>
          <w:tblCellMar>
            <w:top w:w="0" w:type="dxa"/>
            <w:left w:w="108" w:type="dxa"/>
            <w:bottom w:w="0" w:type="dxa"/>
            <w:right w:w="108" w:type="dxa"/>
          </w:tblCellMar>
        </w:tblPrEx>
        <w:trPr>
          <w:trHeight w:val="454" w:hRule="atLeast"/>
        </w:trPr>
        <w:tc>
          <w:tcPr>
            <w:tcW w:w="2394" w:type="dxa"/>
            <w:gridSpan w:val="2"/>
            <w:tcBorders>
              <w:top w:val="single" w:color="auto" w:sz="4" w:space="0"/>
              <w:left w:val="nil"/>
              <w:bottom w:val="single" w:color="auto" w:sz="12"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备注</w:t>
            </w:r>
          </w:p>
        </w:tc>
        <w:tc>
          <w:tcPr>
            <w:tcW w:w="6324" w:type="dxa"/>
            <w:gridSpan w:val="7"/>
            <w:tcBorders>
              <w:top w:val="single" w:color="auto" w:sz="4" w:space="0"/>
              <w:left w:val="single" w:color="auto" w:sz="4" w:space="0"/>
              <w:bottom w:val="single" w:color="auto" w:sz="12"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排气筒高度：8m，直径0.4m。</w:t>
            </w:r>
          </w:p>
        </w:tc>
      </w:tr>
    </w:tbl>
    <w:p>
      <w:pPr>
        <w:spacing w:line="360" w:lineRule="auto"/>
        <w:rPr>
          <w:rFonts w:ascii="宋体" w:hAnsi="宋体" w:eastAsia="宋体" w:cs="宋体"/>
          <w:b/>
          <w:bCs/>
          <w:sz w:val="13"/>
          <w:szCs w:val="13"/>
        </w:rPr>
      </w:pPr>
    </w:p>
    <w:p>
      <w:pPr>
        <w:jc w:val="left"/>
        <w:rPr>
          <w:rFonts w:ascii="宋体" w:hAnsi="宋体" w:eastAsia="宋体" w:cs="宋体"/>
          <w:b/>
          <w:sz w:val="18"/>
          <w:szCs w:val="18"/>
        </w:rPr>
      </w:pPr>
    </w:p>
    <w:p>
      <w:pPr>
        <w:ind w:firstLine="480" w:firstLineChars="200"/>
        <w:rPr>
          <w:rFonts w:ascii="宋体" w:hAnsi="宋体"/>
          <w:sz w:val="24"/>
        </w:rPr>
      </w:pPr>
    </w:p>
    <w:p>
      <w:pPr>
        <w:spacing w:line="360" w:lineRule="auto"/>
        <w:rPr>
          <w:rFonts w:ascii="宋体" w:hAnsi="宋体" w:eastAsia="宋体" w:cs="宋体"/>
          <w:b/>
          <w:bCs/>
          <w:sz w:val="28"/>
          <w:szCs w:val="28"/>
        </w:rPr>
      </w:pPr>
    </w:p>
    <w:p>
      <w:pPr>
        <w:spacing w:line="360" w:lineRule="auto"/>
        <w:jc w:val="left"/>
        <w:outlineLvl w:val="0"/>
        <w:rPr>
          <w:rFonts w:ascii="宋体" w:hAnsi="宋体" w:eastAsia="宋体" w:cs="宋体"/>
          <w:b/>
          <w:color w:val="000000" w:themeColor="text1"/>
          <w:sz w:val="28"/>
          <w:szCs w:val="28"/>
        </w:rPr>
      </w:pPr>
      <w:bookmarkStart w:id="31" w:name="_Toc28598"/>
      <w:r>
        <w:rPr>
          <w:rFonts w:hint="eastAsia" w:ascii="宋体" w:hAnsi="宋体" w:eastAsia="宋体" w:cs="宋体"/>
          <w:b/>
          <w:color w:val="000000" w:themeColor="text1"/>
          <w:sz w:val="28"/>
          <w:szCs w:val="28"/>
        </w:rPr>
        <w:t>8声环境影响调查</w:t>
      </w:r>
      <w:bookmarkEnd w:id="31"/>
    </w:p>
    <w:p>
      <w:pPr>
        <w:spacing w:line="360" w:lineRule="auto"/>
        <w:jc w:val="left"/>
        <w:outlineLvl w:val="1"/>
        <w:rPr>
          <w:rFonts w:ascii="宋体" w:hAnsi="宋体" w:eastAsia="宋体" w:cs="宋体"/>
          <w:b/>
          <w:bCs/>
          <w:color w:val="000000" w:themeColor="text1"/>
          <w:sz w:val="28"/>
        </w:rPr>
      </w:pPr>
      <w:bookmarkStart w:id="32" w:name="_Toc16245"/>
      <w:r>
        <w:rPr>
          <w:rFonts w:hint="eastAsia" w:ascii="宋体" w:hAnsi="宋体" w:eastAsia="宋体" w:cs="宋体"/>
          <w:b/>
          <w:bCs/>
          <w:color w:val="000000" w:themeColor="text1"/>
          <w:sz w:val="28"/>
        </w:rPr>
        <w:t>8.1监测布点及监测频率</w:t>
      </w:r>
      <w:bookmarkEnd w:id="32"/>
    </w:p>
    <w:p>
      <w:pPr>
        <w:spacing w:line="360" w:lineRule="auto"/>
        <w:ind w:firstLine="560" w:firstLineChars="200"/>
        <w:jc w:val="left"/>
        <w:rPr>
          <w:rFonts w:ascii="宋体" w:hAnsi="宋体" w:eastAsia="宋体" w:cs="宋体"/>
          <w:color w:val="000000" w:themeColor="text1"/>
          <w:sz w:val="28"/>
        </w:rPr>
      </w:pPr>
      <w:r>
        <w:rPr>
          <w:rFonts w:hint="eastAsia" w:ascii="宋体" w:hAnsi="宋体" w:eastAsia="宋体" w:cs="宋体"/>
          <w:color w:val="000000" w:themeColor="text1"/>
          <w:sz w:val="28"/>
        </w:rPr>
        <w:t>2座锅炉房共设8个厂界噪声监测点（ZS01～ZS08），监测2 天，每天昼夜各监测2次。</w:t>
      </w:r>
    </w:p>
    <w:p>
      <w:pPr>
        <w:spacing w:line="360" w:lineRule="auto"/>
        <w:ind w:firstLine="560" w:firstLineChars="200"/>
        <w:jc w:val="left"/>
        <w:rPr>
          <w:rFonts w:ascii="宋体" w:hAnsi="宋体" w:eastAsia="宋体" w:cs="宋体"/>
          <w:color w:val="000000" w:themeColor="text1"/>
          <w:sz w:val="28"/>
        </w:rPr>
      </w:pPr>
      <w:r>
        <w:rPr>
          <w:rFonts w:hint="eastAsia" w:ascii="宋体" w:hAnsi="宋体" w:eastAsia="宋体" w:cs="宋体"/>
          <w:sz w:val="28"/>
          <w:szCs w:val="28"/>
        </w:rPr>
        <w:t>产权式酒店</w:t>
      </w:r>
      <w:r>
        <w:rPr>
          <w:rFonts w:hint="eastAsia" w:ascii="宋体" w:hAnsi="宋体" w:eastAsia="宋体" w:cs="宋体"/>
          <w:color w:val="000000" w:themeColor="text1"/>
          <w:sz w:val="28"/>
          <w:szCs w:val="28"/>
        </w:rPr>
        <w:t>共设置2处噪声监测点</w:t>
      </w:r>
      <w:r>
        <w:rPr>
          <w:rFonts w:hint="eastAsia" w:ascii="宋体" w:hAnsi="宋体" w:eastAsia="宋体" w:cs="宋体"/>
          <w:color w:val="000000" w:themeColor="text1"/>
          <w:sz w:val="28"/>
        </w:rPr>
        <w:t>（ZS09～ZS10），监测2 天，每天昼夜各监测2次。</w:t>
      </w:r>
    </w:p>
    <w:p>
      <w:pPr>
        <w:spacing w:line="360" w:lineRule="auto"/>
        <w:jc w:val="center"/>
        <w:rPr>
          <w:rFonts w:ascii="宋体" w:hAnsi="宋体" w:eastAsia="宋体" w:cs="宋体"/>
          <w:kern w:val="0"/>
          <w:sz w:val="24"/>
        </w:rPr>
      </w:pPr>
      <w:r>
        <w:rPr>
          <w:rFonts w:ascii="宋体" w:hAnsi="宋体" w:eastAsia="宋体" w:cs="宋体"/>
          <w:kern w:val="0"/>
          <w:sz w:val="11"/>
          <w:szCs w:val="11"/>
        </w:rPr>
        <w:drawing>
          <wp:inline distT="0" distB="0" distL="114300" distR="114300">
            <wp:extent cx="3808095" cy="3528695"/>
            <wp:effectExtent l="0" t="0" r="1905" b="6985"/>
            <wp:docPr id="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IMG_256"/>
                    <pic:cNvPicPr>
                      <a:picLocks noChangeAspect="1"/>
                    </pic:cNvPicPr>
                  </pic:nvPicPr>
                  <pic:blipFill>
                    <a:blip r:embed="rId49"/>
                    <a:stretch>
                      <a:fillRect/>
                    </a:stretch>
                  </pic:blipFill>
                  <pic:spPr>
                    <a:xfrm>
                      <a:off x="0" y="0"/>
                      <a:ext cx="3808095" cy="3528695"/>
                    </a:xfrm>
                    <a:prstGeom prst="rect">
                      <a:avLst/>
                    </a:prstGeom>
                    <a:noFill/>
                    <a:ln w="9525">
                      <a:noFill/>
                    </a:ln>
                  </pic:spPr>
                </pic:pic>
              </a:graphicData>
            </a:graphic>
          </wp:inline>
        </w:drawing>
      </w:r>
    </w:p>
    <w:p>
      <w:pPr>
        <w:widowControl/>
        <w:spacing w:line="360" w:lineRule="auto"/>
        <w:jc w:val="center"/>
        <w:rPr>
          <w:rFonts w:ascii="宋体" w:hAnsi="宋体" w:eastAsia="宋体" w:cs="宋体"/>
          <w:color w:val="000000" w:themeColor="text1"/>
          <w:sz w:val="28"/>
        </w:rPr>
      </w:pPr>
      <w:r>
        <w:rPr>
          <w:rFonts w:hint="eastAsia" w:ascii="宋体" w:hAnsi="宋体" w:eastAsia="宋体" w:cs="宋体"/>
          <w:b/>
          <w:bCs/>
          <w:color w:val="000000" w:themeColor="text1"/>
          <w:kern w:val="0"/>
          <w:szCs w:val="21"/>
        </w:rPr>
        <w:t>噪声及大气污染物监测点位图</w:t>
      </w:r>
    </w:p>
    <w:p>
      <w:pPr>
        <w:spacing w:line="360" w:lineRule="auto"/>
        <w:jc w:val="left"/>
        <w:outlineLvl w:val="1"/>
        <w:rPr>
          <w:rFonts w:ascii="宋体" w:hAnsi="宋体" w:eastAsia="宋体" w:cs="宋体"/>
          <w:b/>
          <w:bCs/>
          <w:color w:val="000000" w:themeColor="text1"/>
          <w:sz w:val="28"/>
        </w:rPr>
      </w:pPr>
      <w:bookmarkStart w:id="33" w:name="_Toc13950"/>
      <w:r>
        <w:rPr>
          <w:rFonts w:hint="eastAsia" w:ascii="宋体" w:hAnsi="宋体" w:eastAsia="宋体" w:cs="宋体"/>
          <w:b/>
          <w:bCs/>
          <w:color w:val="000000" w:themeColor="text1"/>
          <w:sz w:val="28"/>
        </w:rPr>
        <w:t>8.2监测因子</w:t>
      </w:r>
      <w:bookmarkEnd w:id="33"/>
    </w:p>
    <w:p>
      <w:pPr>
        <w:spacing w:line="360" w:lineRule="auto"/>
        <w:ind w:firstLine="561"/>
        <w:jc w:val="left"/>
        <w:rPr>
          <w:rFonts w:ascii="宋体" w:hAnsi="宋体" w:eastAsia="宋体" w:cs="宋体"/>
          <w:color w:val="000000" w:themeColor="text1"/>
          <w:sz w:val="28"/>
        </w:rPr>
      </w:pPr>
      <w:r>
        <w:rPr>
          <w:rFonts w:hint="eastAsia" w:ascii="宋体" w:hAnsi="宋体" w:eastAsia="宋体" w:cs="宋体"/>
          <w:color w:val="000000" w:themeColor="text1"/>
          <w:sz w:val="28"/>
        </w:rPr>
        <w:t>Leq[dB（A）]。</w:t>
      </w:r>
    </w:p>
    <w:p>
      <w:pPr>
        <w:spacing w:line="360" w:lineRule="auto"/>
        <w:jc w:val="left"/>
        <w:outlineLvl w:val="1"/>
        <w:rPr>
          <w:rFonts w:ascii="宋体" w:hAnsi="宋体" w:eastAsia="宋体" w:cs="宋体"/>
          <w:color w:val="000000" w:themeColor="text1"/>
          <w:sz w:val="28"/>
        </w:rPr>
      </w:pPr>
      <w:bookmarkStart w:id="34" w:name="_Toc579"/>
      <w:r>
        <w:rPr>
          <w:rFonts w:hint="eastAsia" w:ascii="宋体" w:hAnsi="宋体" w:eastAsia="宋体" w:cs="宋体"/>
          <w:b/>
          <w:bCs/>
          <w:color w:val="000000" w:themeColor="text1"/>
          <w:sz w:val="28"/>
        </w:rPr>
        <w:t>8.3监测结果分析</w:t>
      </w:r>
      <w:bookmarkEnd w:id="34"/>
    </w:p>
    <w:p>
      <w:pPr>
        <w:spacing w:line="360" w:lineRule="auto"/>
        <w:ind w:firstLine="560" w:firstLineChars="200"/>
        <w:jc w:val="left"/>
        <w:rPr>
          <w:rFonts w:ascii="宋体" w:hAnsi="宋体" w:eastAsia="宋体" w:cs="宋体"/>
          <w:color w:val="000000" w:themeColor="text1"/>
          <w:sz w:val="28"/>
          <w:szCs w:val="28"/>
        </w:rPr>
      </w:pPr>
      <w:r>
        <w:rPr>
          <w:rFonts w:hint="eastAsia" w:ascii="宋体" w:hAnsi="宋体" w:eastAsia="宋体" w:cs="宋体"/>
          <w:color w:val="000000" w:themeColor="text1"/>
          <w:sz w:val="28"/>
        </w:rPr>
        <w:t>噪声验收监测结果详见表8-1。监</w:t>
      </w:r>
      <w:r>
        <w:rPr>
          <w:rFonts w:hint="eastAsia" w:ascii="宋体" w:hAnsi="宋体" w:eastAsia="宋体" w:cs="宋体"/>
          <w:color w:val="000000" w:themeColor="text1"/>
          <w:sz w:val="28"/>
          <w:szCs w:val="28"/>
        </w:rPr>
        <w:t>测结果表明，验收监测期间， 锅炉房厂界噪声测点昼间最大监测值52.4 dB（A），夜间最大监测值43.7 dB（A）；</w:t>
      </w:r>
      <w:r>
        <w:rPr>
          <w:rFonts w:hint="eastAsia" w:ascii="宋体" w:hAnsi="宋体" w:eastAsia="宋体" w:cs="宋体"/>
          <w:sz w:val="28"/>
          <w:szCs w:val="28"/>
        </w:rPr>
        <w:t>产权式酒店</w:t>
      </w:r>
      <w:r>
        <w:rPr>
          <w:rFonts w:hint="eastAsia" w:ascii="宋体" w:hAnsi="宋体" w:eastAsia="宋体" w:cs="宋体"/>
          <w:color w:val="000000" w:themeColor="text1"/>
          <w:sz w:val="28"/>
          <w:szCs w:val="28"/>
        </w:rPr>
        <w:t>昼间最大噪声监测值51.3 dB（A），夜间最大监测值47.6 dB（A），均满足《工业企业厂界环境噪声排放标准》（GB12348-2008）2 类标准限值。</w:t>
      </w:r>
    </w:p>
    <w:p>
      <w:pPr>
        <w:spacing w:line="360" w:lineRule="auto"/>
        <w:jc w:val="center"/>
        <w:rPr>
          <w:rFonts w:ascii="宋体" w:hAnsi="宋体" w:eastAsia="宋体" w:cs="宋体"/>
          <w:b/>
          <w:bCs/>
          <w:color w:val="000000" w:themeColor="text1"/>
          <w:kern w:val="10"/>
          <w:szCs w:val="21"/>
        </w:rPr>
      </w:pPr>
      <w:r>
        <w:rPr>
          <w:rFonts w:hint="eastAsia" w:ascii="宋体" w:hAnsi="宋体" w:eastAsia="宋体" w:cs="宋体"/>
          <w:b/>
          <w:bCs/>
          <w:color w:val="000000" w:themeColor="text1"/>
          <w:kern w:val="10"/>
          <w:szCs w:val="21"/>
        </w:rPr>
        <w:t>表8-1 噪声监测结果</w:t>
      </w:r>
    </w:p>
    <w:tbl>
      <w:tblPr>
        <w:tblStyle w:val="11"/>
        <w:tblW w:w="8301" w:type="dxa"/>
        <w:tblInd w:w="91" w:type="dxa"/>
        <w:tblLayout w:type="fixed"/>
        <w:tblCellMar>
          <w:top w:w="0" w:type="dxa"/>
          <w:left w:w="108" w:type="dxa"/>
          <w:bottom w:w="0" w:type="dxa"/>
          <w:right w:w="108" w:type="dxa"/>
        </w:tblCellMar>
      </w:tblPr>
      <w:tblGrid>
        <w:gridCol w:w="1010"/>
        <w:gridCol w:w="1093"/>
        <w:gridCol w:w="1587"/>
        <w:gridCol w:w="1503"/>
        <w:gridCol w:w="1560"/>
        <w:gridCol w:w="1538"/>
        <w:gridCol w:w="10"/>
      </w:tblGrid>
      <w:tr>
        <w:tblPrEx>
          <w:tblLayout w:type="fixed"/>
          <w:tblCellMar>
            <w:top w:w="0" w:type="dxa"/>
            <w:left w:w="108" w:type="dxa"/>
            <w:bottom w:w="0" w:type="dxa"/>
            <w:right w:w="108" w:type="dxa"/>
          </w:tblCellMar>
        </w:tblPrEx>
        <w:trPr>
          <w:trHeight w:val="454" w:hRule="atLeast"/>
          <w:tblHeader/>
        </w:trPr>
        <w:tc>
          <w:tcPr>
            <w:tcW w:w="1010" w:type="dxa"/>
            <w:vMerge w:val="restart"/>
            <w:tcBorders>
              <w:top w:val="single" w:color="auto" w:sz="12" w:space="0"/>
              <w:left w:val="nil"/>
              <w:bottom w:val="single" w:color="auto" w:sz="4" w:space="0"/>
              <w:right w:val="single" w:color="auto" w:sz="4" w:space="0"/>
            </w:tcBorders>
            <w:vAlign w:val="center"/>
          </w:tcPr>
          <w:p>
            <w:pPr>
              <w:widowControl/>
              <w:spacing w:line="240" w:lineRule="exact"/>
              <w:jc w:val="center"/>
              <w:rPr>
                <w:rFonts w:ascii="宋体" w:hAnsi="宋体" w:eastAsia="宋体" w:cs="宋体"/>
                <w:kern w:val="0"/>
                <w:szCs w:val="21"/>
              </w:rPr>
            </w:pPr>
            <w:r>
              <w:rPr>
                <w:rFonts w:hint="eastAsia" w:ascii="宋体" w:hAnsi="宋体" w:eastAsia="宋体" w:cs="宋体"/>
                <w:kern w:val="0"/>
                <w:szCs w:val="21"/>
              </w:rPr>
              <w:t>位置</w:t>
            </w:r>
          </w:p>
          <w:p>
            <w:pPr>
              <w:widowControl/>
              <w:spacing w:line="240" w:lineRule="exact"/>
              <w:jc w:val="center"/>
              <w:rPr>
                <w:rFonts w:ascii="宋体" w:hAnsi="宋体" w:eastAsia="宋体" w:cs="宋体"/>
                <w:kern w:val="0"/>
                <w:szCs w:val="21"/>
              </w:rPr>
            </w:pPr>
            <w:r>
              <w:rPr>
                <w:rFonts w:hint="eastAsia" w:ascii="宋体" w:hAnsi="宋体" w:eastAsia="宋体" w:cs="宋体"/>
                <w:kern w:val="0"/>
                <w:szCs w:val="21"/>
              </w:rPr>
              <w:t>编号</w:t>
            </w:r>
          </w:p>
        </w:tc>
        <w:tc>
          <w:tcPr>
            <w:tcW w:w="1093" w:type="dxa"/>
            <w:vMerge w:val="restart"/>
            <w:tcBorders>
              <w:top w:val="single" w:color="auto" w:sz="12" w:space="0"/>
              <w:left w:val="single" w:color="auto" w:sz="4" w:space="0"/>
              <w:bottom w:val="single" w:color="auto" w:sz="4" w:space="0"/>
              <w:right w:val="single" w:color="auto" w:sz="4" w:space="0"/>
            </w:tcBorders>
            <w:vAlign w:val="center"/>
          </w:tcPr>
          <w:p>
            <w:pPr>
              <w:widowControl/>
              <w:spacing w:line="240" w:lineRule="exact"/>
              <w:jc w:val="center"/>
              <w:rPr>
                <w:rFonts w:ascii="宋体" w:hAnsi="宋体" w:eastAsia="宋体" w:cs="宋体"/>
                <w:kern w:val="0"/>
                <w:szCs w:val="21"/>
              </w:rPr>
            </w:pPr>
            <w:r>
              <w:rPr>
                <w:rFonts w:hint="eastAsia" w:ascii="宋体" w:hAnsi="宋体" w:eastAsia="宋体" w:cs="宋体"/>
                <w:kern w:val="0"/>
                <w:szCs w:val="21"/>
              </w:rPr>
              <w:t>名称</w:t>
            </w:r>
          </w:p>
        </w:tc>
        <w:tc>
          <w:tcPr>
            <w:tcW w:w="3090" w:type="dxa"/>
            <w:gridSpan w:val="2"/>
            <w:tcBorders>
              <w:top w:val="single" w:color="auto" w:sz="12" w:space="0"/>
              <w:left w:val="single" w:color="auto" w:sz="4" w:space="0"/>
              <w:bottom w:val="single" w:color="auto" w:sz="4" w:space="0"/>
              <w:right w:val="single" w:color="auto" w:sz="4" w:space="0"/>
            </w:tcBorders>
            <w:vAlign w:val="center"/>
          </w:tcPr>
          <w:p>
            <w:pPr>
              <w:widowControl/>
              <w:spacing w:line="240" w:lineRule="exact"/>
              <w:jc w:val="center"/>
              <w:rPr>
                <w:rFonts w:ascii="宋体" w:hAnsi="宋体" w:eastAsia="宋体" w:cs="宋体"/>
                <w:kern w:val="0"/>
                <w:szCs w:val="21"/>
              </w:rPr>
            </w:pPr>
            <w:r>
              <w:rPr>
                <w:rFonts w:hint="eastAsia" w:ascii="宋体" w:hAnsi="宋体" w:eastAsia="宋体" w:cs="宋体"/>
                <w:kern w:val="0"/>
                <w:szCs w:val="21"/>
              </w:rPr>
              <w:t>2018.01.31</w:t>
            </w:r>
          </w:p>
        </w:tc>
        <w:tc>
          <w:tcPr>
            <w:tcW w:w="3108" w:type="dxa"/>
            <w:gridSpan w:val="3"/>
            <w:tcBorders>
              <w:top w:val="single" w:color="auto" w:sz="12" w:space="0"/>
              <w:left w:val="single" w:color="auto" w:sz="4" w:space="0"/>
              <w:bottom w:val="single" w:color="auto" w:sz="4" w:space="0"/>
              <w:right w:val="nil"/>
            </w:tcBorders>
            <w:vAlign w:val="center"/>
          </w:tcPr>
          <w:p>
            <w:pPr>
              <w:widowControl/>
              <w:spacing w:line="240" w:lineRule="exact"/>
              <w:jc w:val="center"/>
              <w:rPr>
                <w:rFonts w:ascii="宋体" w:hAnsi="宋体" w:eastAsia="宋体" w:cs="宋体"/>
                <w:kern w:val="0"/>
                <w:szCs w:val="21"/>
              </w:rPr>
            </w:pPr>
            <w:r>
              <w:rPr>
                <w:rFonts w:hint="eastAsia" w:ascii="宋体" w:hAnsi="宋体" w:eastAsia="宋体" w:cs="宋体"/>
                <w:kern w:val="0"/>
                <w:szCs w:val="21"/>
              </w:rPr>
              <w:t>2018.02.01</w:t>
            </w:r>
          </w:p>
        </w:tc>
      </w:tr>
      <w:tr>
        <w:tblPrEx>
          <w:tblLayout w:type="fixed"/>
          <w:tblCellMar>
            <w:top w:w="0" w:type="dxa"/>
            <w:left w:w="108" w:type="dxa"/>
            <w:bottom w:w="0" w:type="dxa"/>
            <w:right w:w="108" w:type="dxa"/>
          </w:tblCellMar>
        </w:tblPrEx>
        <w:trPr>
          <w:gridAfter w:val="1"/>
          <w:wAfter w:w="10" w:type="dxa"/>
          <w:trHeight w:val="454" w:hRule="atLeast"/>
          <w:tblHeader/>
        </w:trPr>
        <w:tc>
          <w:tcPr>
            <w:tcW w:w="1010" w:type="dxa"/>
            <w:vMerge w:val="continue"/>
            <w:tcBorders>
              <w:top w:val="single" w:color="auto" w:sz="4" w:space="0"/>
              <w:left w:val="nil"/>
              <w:bottom w:val="single" w:color="auto" w:sz="12" w:space="0"/>
              <w:right w:val="single" w:color="auto" w:sz="4" w:space="0"/>
            </w:tcBorders>
            <w:vAlign w:val="center"/>
          </w:tcPr>
          <w:p>
            <w:pPr>
              <w:widowControl/>
              <w:spacing w:line="240" w:lineRule="exact"/>
              <w:jc w:val="left"/>
              <w:rPr>
                <w:rFonts w:ascii="宋体" w:hAnsi="宋体" w:eastAsia="宋体" w:cs="宋体"/>
                <w:kern w:val="0"/>
                <w:szCs w:val="21"/>
              </w:rPr>
            </w:pPr>
          </w:p>
        </w:tc>
        <w:tc>
          <w:tcPr>
            <w:tcW w:w="1093" w:type="dxa"/>
            <w:vMerge w:val="continue"/>
            <w:tcBorders>
              <w:top w:val="single" w:color="auto" w:sz="4" w:space="0"/>
              <w:left w:val="single" w:color="auto" w:sz="4" w:space="0"/>
              <w:bottom w:val="single" w:color="auto" w:sz="12" w:space="0"/>
              <w:right w:val="single" w:color="auto" w:sz="4" w:space="0"/>
            </w:tcBorders>
            <w:vAlign w:val="center"/>
          </w:tcPr>
          <w:p>
            <w:pPr>
              <w:widowControl/>
              <w:spacing w:line="240" w:lineRule="exact"/>
              <w:jc w:val="left"/>
              <w:rPr>
                <w:rFonts w:ascii="宋体" w:hAnsi="宋体" w:eastAsia="宋体" w:cs="宋体"/>
                <w:kern w:val="0"/>
                <w:szCs w:val="21"/>
              </w:rPr>
            </w:pPr>
          </w:p>
        </w:tc>
        <w:tc>
          <w:tcPr>
            <w:tcW w:w="1587" w:type="dxa"/>
            <w:tcBorders>
              <w:top w:val="single" w:color="auto" w:sz="4" w:space="0"/>
              <w:left w:val="single" w:color="auto" w:sz="4" w:space="0"/>
              <w:bottom w:val="single" w:color="auto" w:sz="12"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昼间</w:t>
            </w:r>
          </w:p>
          <w:p>
            <w:pPr>
              <w:spacing w:line="240" w:lineRule="exact"/>
              <w:rPr>
                <w:rFonts w:ascii="宋体" w:hAnsi="宋体" w:eastAsia="宋体" w:cs="宋体"/>
                <w:szCs w:val="21"/>
              </w:rPr>
            </w:pPr>
            <w:r>
              <w:rPr>
                <w:rFonts w:hint="eastAsia" w:ascii="宋体" w:hAnsi="宋体" w:eastAsia="宋体" w:cs="宋体"/>
                <w:szCs w:val="21"/>
              </w:rPr>
              <w:t>06：00--22:00</w:t>
            </w:r>
          </w:p>
        </w:tc>
        <w:tc>
          <w:tcPr>
            <w:tcW w:w="1503" w:type="dxa"/>
            <w:tcBorders>
              <w:top w:val="single" w:color="auto" w:sz="4" w:space="0"/>
              <w:left w:val="single" w:color="auto" w:sz="4" w:space="0"/>
              <w:bottom w:val="single" w:color="auto" w:sz="12"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夜间</w:t>
            </w:r>
          </w:p>
          <w:p>
            <w:pPr>
              <w:spacing w:line="240" w:lineRule="exact"/>
              <w:jc w:val="center"/>
              <w:rPr>
                <w:rFonts w:ascii="宋体" w:hAnsi="宋体" w:eastAsia="宋体" w:cs="宋体"/>
                <w:szCs w:val="21"/>
              </w:rPr>
            </w:pPr>
            <w:r>
              <w:rPr>
                <w:rFonts w:hint="eastAsia" w:ascii="宋体" w:hAnsi="宋体" w:eastAsia="宋体" w:cs="宋体"/>
                <w:szCs w:val="21"/>
              </w:rPr>
              <w:t>22:00--06：00</w:t>
            </w:r>
          </w:p>
        </w:tc>
        <w:tc>
          <w:tcPr>
            <w:tcW w:w="1560" w:type="dxa"/>
            <w:tcBorders>
              <w:top w:val="single" w:color="auto" w:sz="4" w:space="0"/>
              <w:left w:val="single" w:color="auto" w:sz="4" w:space="0"/>
              <w:bottom w:val="single" w:color="auto" w:sz="12"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昼间</w:t>
            </w:r>
          </w:p>
          <w:p>
            <w:pPr>
              <w:spacing w:line="240" w:lineRule="exact"/>
              <w:rPr>
                <w:rFonts w:ascii="宋体" w:hAnsi="宋体" w:eastAsia="宋体" w:cs="宋体"/>
                <w:szCs w:val="21"/>
              </w:rPr>
            </w:pPr>
            <w:r>
              <w:rPr>
                <w:rFonts w:hint="eastAsia" w:ascii="宋体" w:hAnsi="宋体" w:eastAsia="宋体" w:cs="宋体"/>
                <w:szCs w:val="21"/>
              </w:rPr>
              <w:t>06：00--22:00</w:t>
            </w:r>
          </w:p>
        </w:tc>
        <w:tc>
          <w:tcPr>
            <w:tcW w:w="1538" w:type="dxa"/>
            <w:tcBorders>
              <w:top w:val="single" w:color="auto" w:sz="4" w:space="0"/>
              <w:left w:val="single" w:color="auto" w:sz="4" w:space="0"/>
              <w:bottom w:val="single" w:color="auto" w:sz="12"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夜间</w:t>
            </w:r>
          </w:p>
          <w:p>
            <w:pPr>
              <w:spacing w:line="240" w:lineRule="exact"/>
              <w:jc w:val="center"/>
              <w:rPr>
                <w:rFonts w:ascii="宋体" w:hAnsi="宋体" w:eastAsia="宋体" w:cs="宋体"/>
                <w:szCs w:val="21"/>
              </w:rPr>
            </w:pPr>
            <w:r>
              <w:rPr>
                <w:rFonts w:hint="eastAsia" w:ascii="宋体" w:hAnsi="宋体" w:eastAsia="宋体" w:cs="宋体"/>
                <w:szCs w:val="21"/>
              </w:rPr>
              <w:t>22:00--06：00</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12"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ZS0101</w:t>
            </w:r>
          </w:p>
        </w:tc>
        <w:tc>
          <w:tcPr>
            <w:tcW w:w="1093" w:type="dxa"/>
            <w:tcBorders>
              <w:top w:val="single" w:color="auto" w:sz="12"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北锅炉房（东）</w:t>
            </w:r>
          </w:p>
        </w:tc>
        <w:tc>
          <w:tcPr>
            <w:tcW w:w="1587" w:type="dxa"/>
            <w:tcBorders>
              <w:top w:val="single" w:color="auto" w:sz="12"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52.4</w:t>
            </w:r>
          </w:p>
        </w:tc>
        <w:tc>
          <w:tcPr>
            <w:tcW w:w="1503" w:type="dxa"/>
            <w:tcBorders>
              <w:top w:val="single" w:color="auto" w:sz="12"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43.7</w:t>
            </w:r>
          </w:p>
        </w:tc>
        <w:tc>
          <w:tcPr>
            <w:tcW w:w="1560" w:type="dxa"/>
            <w:tcBorders>
              <w:top w:val="single" w:color="auto" w:sz="12"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48.6</w:t>
            </w:r>
          </w:p>
        </w:tc>
        <w:tc>
          <w:tcPr>
            <w:tcW w:w="1538" w:type="dxa"/>
            <w:tcBorders>
              <w:top w:val="single" w:color="auto" w:sz="12"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40.1</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ZS0102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北锅炉房（东）</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50.7</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38.3</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49.2</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36.6</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ZS0201</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北锅炉房（南）</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51.7</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43.2</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49.1</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38.6</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ZS0202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北锅炉房（南）</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50.2</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37.8</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47.5</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37.2</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ZS0301</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北锅炉房（西）</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50.1</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41.8</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50.1</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39.4</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ZS0302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北锅炉房（西）</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49.6</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38.1</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46.8</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36.4</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ZS0401</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北锅炉房（北）</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49.8</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42.4</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48.0</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39.0</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ZS0402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北锅炉房（北）</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49.2</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37.6</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46.0</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36.1</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ZS0501</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南锅炉房（东）</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51.2</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41.7</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47.8</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39.9</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ZS0502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南锅炉房（东）</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51.2</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37.0</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49.7</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35.1</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 xml:space="preserve">ZS0601  </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南锅炉房（南）</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48.0</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42.3</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48.4</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38.7</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ZS0602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南锅炉房（南）</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52.1</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38.5</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47.4</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36.1</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ZS0701</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南锅炉房（西）</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49.6</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40.1</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47.7</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39.4</w:t>
            </w:r>
          </w:p>
        </w:tc>
      </w:tr>
      <w:tr>
        <w:tblPrEx>
          <w:tblLayout w:type="fixed"/>
          <w:tblCellMar>
            <w:top w:w="0" w:type="dxa"/>
            <w:left w:w="108" w:type="dxa"/>
            <w:bottom w:w="0" w:type="dxa"/>
            <w:right w:w="108" w:type="dxa"/>
          </w:tblCellMar>
        </w:tblPrEx>
        <w:trPr>
          <w:gridAfter w:val="1"/>
          <w:wAfter w:w="10" w:type="dxa"/>
          <w:trHeight w:val="73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ZS0702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南锅炉房（西）</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48.6</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36.1</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48.7</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35.6</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ZS0801</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南锅炉房（北）</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49.3</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39.3</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48.8</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37.3</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ZS0802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南锅炉房（北）</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49.0</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37.2</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47.3</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35.3</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ZS0901</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敏感点1</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51.3</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39.7</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47.6</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34.7</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ZS0902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敏感点1</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48.6</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36.2</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46.2</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33.7</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ZS1001</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敏感点2</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49.6</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40.3</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46.9</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33.7</w:t>
            </w:r>
          </w:p>
        </w:tc>
      </w:tr>
      <w:tr>
        <w:tblPrEx>
          <w:tblLayout w:type="fixed"/>
          <w:tblCellMar>
            <w:top w:w="0" w:type="dxa"/>
            <w:left w:w="108" w:type="dxa"/>
            <w:bottom w:w="0" w:type="dxa"/>
            <w:right w:w="108" w:type="dxa"/>
          </w:tblCellMar>
        </w:tblPrEx>
        <w:trPr>
          <w:gridAfter w:val="1"/>
          <w:wAfter w:w="10" w:type="dxa"/>
          <w:trHeight w:val="454" w:hRule="atLeast"/>
        </w:trPr>
        <w:tc>
          <w:tcPr>
            <w:tcW w:w="1010" w:type="dxa"/>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ZS1002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color w:val="000000"/>
                <w:szCs w:val="21"/>
              </w:rPr>
            </w:pPr>
            <w:r>
              <w:rPr>
                <w:rFonts w:hint="eastAsia" w:ascii="宋体" w:hAnsi="宋体" w:eastAsia="宋体" w:cs="宋体"/>
                <w:color w:val="000000"/>
                <w:szCs w:val="21"/>
              </w:rPr>
              <w:t>敏感点2</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47.9</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35.4</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45.8</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34.3</w:t>
            </w:r>
          </w:p>
        </w:tc>
      </w:tr>
      <w:tr>
        <w:tblPrEx>
          <w:tblLayout w:type="fixed"/>
          <w:tblCellMar>
            <w:top w:w="0" w:type="dxa"/>
            <w:left w:w="108" w:type="dxa"/>
            <w:bottom w:w="0" w:type="dxa"/>
            <w:right w:w="108" w:type="dxa"/>
          </w:tblCellMar>
        </w:tblPrEx>
        <w:trPr>
          <w:gridAfter w:val="1"/>
          <w:wAfter w:w="10" w:type="dxa"/>
          <w:trHeight w:val="454" w:hRule="atLeast"/>
        </w:trPr>
        <w:tc>
          <w:tcPr>
            <w:tcW w:w="2103" w:type="dxa"/>
            <w:gridSpan w:val="2"/>
            <w:tcBorders>
              <w:top w:val="single" w:color="auto" w:sz="4" w:space="0"/>
              <w:left w:val="nil"/>
              <w:bottom w:val="single" w:color="auto" w:sz="4" w:space="0"/>
              <w:right w:val="single" w:color="auto" w:sz="4" w:space="0"/>
            </w:tcBorders>
            <w:vAlign w:val="center"/>
          </w:tcPr>
          <w:p>
            <w:pPr>
              <w:spacing w:line="240" w:lineRule="exact"/>
              <w:jc w:val="center"/>
              <w:rPr>
                <w:rFonts w:ascii="宋体" w:hAnsi="宋体" w:eastAsia="宋体" w:cs="宋体"/>
                <w:b/>
                <w:bCs/>
                <w:color w:val="000000"/>
                <w:szCs w:val="21"/>
              </w:rPr>
            </w:pPr>
            <w:r>
              <w:rPr>
                <w:rFonts w:hint="eastAsia" w:ascii="宋体" w:hAnsi="宋体" w:eastAsia="宋体" w:cs="宋体"/>
                <w:b/>
                <w:bCs/>
                <w:color w:val="000000"/>
                <w:szCs w:val="21"/>
              </w:rPr>
              <w:t>评价标准</w:t>
            </w:r>
          </w:p>
        </w:tc>
        <w:tc>
          <w:tcPr>
            <w:tcW w:w="1587"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昼间</w:t>
            </w:r>
          </w:p>
        </w:tc>
        <w:tc>
          <w:tcPr>
            <w:tcW w:w="1503"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60</w:t>
            </w:r>
          </w:p>
        </w:tc>
        <w:tc>
          <w:tcPr>
            <w:tcW w:w="1560" w:type="dxa"/>
            <w:tcBorders>
              <w:top w:val="single" w:color="auto" w:sz="4" w:space="0"/>
              <w:left w:val="single" w:color="auto" w:sz="4" w:space="0"/>
              <w:bottom w:val="single" w:color="auto" w:sz="4"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夜间</w:t>
            </w:r>
          </w:p>
        </w:tc>
        <w:tc>
          <w:tcPr>
            <w:tcW w:w="1538" w:type="dxa"/>
            <w:tcBorders>
              <w:top w:val="single" w:color="auto" w:sz="4" w:space="0"/>
              <w:left w:val="single" w:color="auto" w:sz="4" w:space="0"/>
              <w:bottom w:val="single" w:color="auto" w:sz="4"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50</w:t>
            </w:r>
          </w:p>
        </w:tc>
      </w:tr>
      <w:tr>
        <w:tblPrEx>
          <w:tblLayout w:type="fixed"/>
          <w:tblCellMar>
            <w:top w:w="0" w:type="dxa"/>
            <w:left w:w="108" w:type="dxa"/>
            <w:bottom w:w="0" w:type="dxa"/>
            <w:right w:w="108" w:type="dxa"/>
          </w:tblCellMar>
        </w:tblPrEx>
        <w:trPr>
          <w:gridAfter w:val="1"/>
          <w:wAfter w:w="10" w:type="dxa"/>
          <w:trHeight w:val="454" w:hRule="atLeast"/>
        </w:trPr>
        <w:tc>
          <w:tcPr>
            <w:tcW w:w="2103" w:type="dxa"/>
            <w:gridSpan w:val="2"/>
            <w:tcBorders>
              <w:top w:val="single" w:color="auto" w:sz="4" w:space="0"/>
              <w:left w:val="nil"/>
              <w:bottom w:val="single" w:color="auto" w:sz="12" w:space="0"/>
              <w:right w:val="single" w:color="auto" w:sz="4" w:space="0"/>
            </w:tcBorders>
            <w:vAlign w:val="center"/>
          </w:tcPr>
          <w:p>
            <w:pPr>
              <w:spacing w:line="240" w:lineRule="exact"/>
              <w:jc w:val="center"/>
              <w:rPr>
                <w:rFonts w:ascii="宋体" w:hAnsi="宋体" w:eastAsia="宋体" w:cs="宋体"/>
                <w:b/>
                <w:bCs/>
                <w:color w:val="000000"/>
                <w:szCs w:val="21"/>
              </w:rPr>
            </w:pPr>
            <w:r>
              <w:rPr>
                <w:rFonts w:hint="eastAsia" w:ascii="宋体" w:hAnsi="宋体" w:eastAsia="宋体" w:cs="宋体"/>
                <w:b/>
                <w:bCs/>
                <w:color w:val="000000"/>
                <w:szCs w:val="21"/>
              </w:rPr>
              <w:t>评价结果</w:t>
            </w:r>
          </w:p>
        </w:tc>
        <w:tc>
          <w:tcPr>
            <w:tcW w:w="3090" w:type="dxa"/>
            <w:gridSpan w:val="2"/>
            <w:tcBorders>
              <w:top w:val="single" w:color="auto" w:sz="4" w:space="0"/>
              <w:left w:val="single" w:color="auto" w:sz="4" w:space="0"/>
              <w:bottom w:val="single" w:color="auto" w:sz="12" w:space="0"/>
              <w:right w:val="single" w:color="auto" w:sz="4" w:space="0"/>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达标</w:t>
            </w:r>
          </w:p>
        </w:tc>
        <w:tc>
          <w:tcPr>
            <w:tcW w:w="3098" w:type="dxa"/>
            <w:gridSpan w:val="2"/>
            <w:tcBorders>
              <w:top w:val="single" w:color="auto" w:sz="4" w:space="0"/>
              <w:left w:val="single" w:color="auto" w:sz="4" w:space="0"/>
              <w:bottom w:val="single" w:color="auto" w:sz="12" w:space="0"/>
              <w:right w:val="nil"/>
            </w:tcBorders>
            <w:vAlign w:val="center"/>
          </w:tcPr>
          <w:p>
            <w:pPr>
              <w:spacing w:line="240" w:lineRule="exact"/>
              <w:jc w:val="center"/>
              <w:rPr>
                <w:rFonts w:ascii="宋体" w:hAnsi="宋体" w:eastAsia="宋体" w:cs="宋体"/>
                <w:szCs w:val="21"/>
              </w:rPr>
            </w:pPr>
            <w:r>
              <w:rPr>
                <w:rFonts w:hint="eastAsia" w:ascii="宋体" w:hAnsi="宋体" w:eastAsia="宋体" w:cs="宋体"/>
                <w:szCs w:val="21"/>
              </w:rPr>
              <w:t>达标</w:t>
            </w:r>
          </w:p>
        </w:tc>
      </w:tr>
    </w:tbl>
    <w:p>
      <w:pPr>
        <w:jc w:val="center"/>
        <w:rPr>
          <w:rFonts w:ascii="宋体" w:hAnsi="宋体" w:eastAsia="宋体" w:cs="宋体"/>
          <w:kern w:val="0"/>
          <w:sz w:val="11"/>
          <w:szCs w:val="11"/>
        </w:rPr>
      </w:pPr>
    </w:p>
    <w:p>
      <w:pPr>
        <w:spacing w:line="360" w:lineRule="auto"/>
        <w:jc w:val="left"/>
        <w:outlineLvl w:val="0"/>
        <w:rPr>
          <w:rFonts w:ascii="宋体" w:hAnsi="宋体" w:eastAsia="宋体" w:cs="宋体"/>
          <w:b/>
          <w:color w:val="000000" w:themeColor="text1"/>
          <w:sz w:val="28"/>
          <w:szCs w:val="28"/>
        </w:rPr>
      </w:pPr>
      <w:bookmarkStart w:id="35" w:name="_Toc8516"/>
      <w:r>
        <w:rPr>
          <w:rFonts w:hint="eastAsia" w:ascii="宋体" w:hAnsi="宋体" w:eastAsia="宋体" w:cs="宋体"/>
          <w:b/>
          <w:bCs/>
          <w:sz w:val="30"/>
          <w:szCs w:val="30"/>
        </w:rPr>
        <w:t>9</w:t>
      </w:r>
      <w:r>
        <w:rPr>
          <w:rFonts w:hint="eastAsia" w:ascii="宋体" w:hAnsi="宋体" w:eastAsia="宋体" w:cs="宋体"/>
          <w:b/>
          <w:color w:val="000000" w:themeColor="text1"/>
          <w:sz w:val="28"/>
          <w:szCs w:val="28"/>
        </w:rPr>
        <w:t>水环境影响调查</w:t>
      </w:r>
      <w:bookmarkEnd w:id="35"/>
    </w:p>
    <w:p>
      <w:pPr>
        <w:spacing w:line="360" w:lineRule="auto"/>
        <w:jc w:val="left"/>
        <w:outlineLvl w:val="1"/>
        <w:rPr>
          <w:rFonts w:ascii="宋体" w:hAnsi="宋体" w:eastAsia="宋体" w:cs="宋体"/>
          <w:b/>
          <w:color w:val="000000" w:themeColor="text1"/>
          <w:sz w:val="28"/>
          <w:szCs w:val="28"/>
        </w:rPr>
      </w:pPr>
      <w:bookmarkStart w:id="36" w:name="_Toc16004"/>
      <w:r>
        <w:rPr>
          <w:rFonts w:hint="eastAsia" w:ascii="宋体" w:hAnsi="宋体" w:eastAsia="宋体" w:cs="宋体"/>
          <w:b/>
          <w:color w:val="000000" w:themeColor="text1"/>
          <w:sz w:val="28"/>
          <w:szCs w:val="28"/>
        </w:rPr>
        <w:t>9.1监测布点及监测频率</w:t>
      </w:r>
      <w:bookmarkEnd w:id="36"/>
    </w:p>
    <w:p>
      <w:pPr>
        <w:spacing w:line="360" w:lineRule="auto"/>
        <w:jc w:val="left"/>
        <w:rPr>
          <w:rFonts w:ascii="宋体" w:hAnsi="宋体" w:eastAsia="宋体" w:cs="宋体"/>
          <w:bCs/>
          <w:color w:val="000000" w:themeColor="text1"/>
          <w:sz w:val="28"/>
          <w:szCs w:val="28"/>
        </w:rPr>
      </w:pPr>
      <w:r>
        <w:rPr>
          <w:rFonts w:hint="eastAsia" w:ascii="宋体" w:hAnsi="宋体" w:eastAsia="宋体" w:cs="宋体"/>
          <w:bCs/>
          <w:color w:val="000000" w:themeColor="text1"/>
          <w:sz w:val="28"/>
          <w:szCs w:val="28"/>
        </w:rPr>
        <w:t>化粪池总排污口，连续监测2天，每天2次，监测时间：2018年1月31日～2月1日。</w:t>
      </w:r>
    </w:p>
    <w:p>
      <w:pPr>
        <w:spacing w:line="360" w:lineRule="auto"/>
        <w:jc w:val="left"/>
        <w:outlineLvl w:val="1"/>
        <w:rPr>
          <w:rFonts w:ascii="宋体" w:hAnsi="宋体" w:eastAsia="宋体" w:cs="宋体"/>
          <w:b/>
          <w:color w:val="000000" w:themeColor="text1"/>
          <w:sz w:val="28"/>
          <w:szCs w:val="28"/>
        </w:rPr>
      </w:pPr>
      <w:bookmarkStart w:id="37" w:name="_Toc13417"/>
      <w:r>
        <w:rPr>
          <w:rFonts w:hint="eastAsia" w:ascii="宋体" w:hAnsi="宋体" w:eastAsia="宋体" w:cs="宋体"/>
          <w:b/>
          <w:color w:val="000000" w:themeColor="text1"/>
          <w:sz w:val="28"/>
          <w:szCs w:val="28"/>
        </w:rPr>
        <w:t>9.2监测因子</w:t>
      </w:r>
      <w:bookmarkEnd w:id="37"/>
    </w:p>
    <w:p>
      <w:pPr>
        <w:spacing w:line="360" w:lineRule="auto"/>
        <w:rPr>
          <w:rFonts w:ascii="宋体" w:hAnsi="宋体" w:eastAsia="宋体" w:cs="宋体"/>
          <w:bCs/>
          <w:color w:val="000000" w:themeColor="text1"/>
          <w:sz w:val="28"/>
          <w:szCs w:val="28"/>
        </w:rPr>
      </w:pPr>
      <w:r>
        <w:rPr>
          <w:rFonts w:hint="eastAsia" w:ascii="宋体" w:hAnsi="宋体" w:eastAsia="宋体" w:cs="宋体"/>
          <w:bCs/>
          <w:color w:val="000000" w:themeColor="text1"/>
          <w:sz w:val="28"/>
          <w:szCs w:val="28"/>
        </w:rPr>
        <w:t xml:space="preserve">    生活污水监测因子：</w:t>
      </w:r>
      <w:r>
        <w:rPr>
          <w:rFonts w:hint="eastAsia" w:ascii="宋体" w:hAnsi="宋体" w:eastAsia="宋体" w:cs="宋体"/>
          <w:color w:val="000000" w:themeColor="text1"/>
          <w:sz w:val="28"/>
          <w:szCs w:val="28"/>
        </w:rPr>
        <w:t>pH、SS、</w:t>
      </w:r>
      <w:r>
        <w:rPr>
          <w:rFonts w:hint="eastAsia" w:ascii="宋体" w:hAnsi="宋体" w:eastAsia="宋体" w:cs="宋体"/>
          <w:sz w:val="28"/>
          <w:szCs w:val="28"/>
        </w:rPr>
        <w:t>COD</w:t>
      </w:r>
      <w:r>
        <w:rPr>
          <w:rFonts w:hint="eastAsia" w:ascii="宋体" w:hAnsi="宋体" w:eastAsia="宋体" w:cs="宋体"/>
          <w:sz w:val="28"/>
          <w:szCs w:val="28"/>
          <w:vertAlign w:val="subscript"/>
        </w:rPr>
        <w:t>cr</w:t>
      </w:r>
      <w:r>
        <w:rPr>
          <w:rFonts w:hint="eastAsia" w:ascii="宋体" w:hAnsi="宋体" w:eastAsia="宋体" w:cs="宋体"/>
          <w:sz w:val="28"/>
          <w:szCs w:val="28"/>
        </w:rPr>
        <w:t>、BOD</w:t>
      </w:r>
      <w:r>
        <w:rPr>
          <w:rFonts w:hint="eastAsia" w:ascii="宋体" w:hAnsi="宋体" w:eastAsia="宋体" w:cs="宋体"/>
          <w:color w:val="000000"/>
          <w:sz w:val="28"/>
          <w:szCs w:val="28"/>
          <w:vertAlign w:val="subscript"/>
        </w:rPr>
        <w:t>5</w:t>
      </w:r>
      <w:r>
        <w:rPr>
          <w:rFonts w:hint="eastAsia" w:ascii="宋体" w:hAnsi="宋体" w:eastAsia="宋体" w:cs="宋体"/>
          <w:color w:val="000000"/>
          <w:sz w:val="28"/>
          <w:szCs w:val="28"/>
        </w:rPr>
        <w:t>、</w:t>
      </w:r>
      <w:r>
        <w:rPr>
          <w:rFonts w:hint="eastAsia" w:ascii="宋体" w:hAnsi="宋体" w:eastAsia="宋体" w:cs="宋体"/>
          <w:sz w:val="28"/>
          <w:szCs w:val="28"/>
        </w:rPr>
        <w:t>动植物油、阴离子表面活性剂、氨氮、粪大肠菌群。</w:t>
      </w:r>
    </w:p>
    <w:p>
      <w:pPr>
        <w:spacing w:line="360" w:lineRule="auto"/>
        <w:jc w:val="left"/>
        <w:outlineLvl w:val="1"/>
        <w:rPr>
          <w:rFonts w:ascii="宋体" w:hAnsi="宋体" w:eastAsia="宋体" w:cs="宋体"/>
          <w:b/>
          <w:color w:val="000000" w:themeColor="text1"/>
          <w:sz w:val="28"/>
          <w:szCs w:val="28"/>
        </w:rPr>
      </w:pPr>
      <w:bookmarkStart w:id="38" w:name="_Toc29825"/>
      <w:r>
        <w:rPr>
          <w:rFonts w:hint="eastAsia" w:ascii="宋体" w:hAnsi="宋体" w:eastAsia="宋体" w:cs="宋体"/>
          <w:b/>
          <w:color w:val="000000" w:themeColor="text1"/>
          <w:sz w:val="28"/>
          <w:szCs w:val="28"/>
        </w:rPr>
        <w:t>9.3监测结果分析</w:t>
      </w:r>
      <w:bookmarkEnd w:id="38"/>
    </w:p>
    <w:p>
      <w:pPr>
        <w:spacing w:line="360" w:lineRule="auto"/>
        <w:ind w:firstLine="560" w:firstLineChars="200"/>
        <w:rPr>
          <w:rFonts w:ascii="宋体" w:hAnsi="宋体" w:eastAsia="宋体" w:cs="宋体"/>
          <w:b/>
          <w:bCs/>
          <w:color w:val="000000" w:themeColor="text1"/>
          <w:kern w:val="10"/>
          <w:szCs w:val="21"/>
        </w:rPr>
      </w:pPr>
      <w:r>
        <w:rPr>
          <w:rFonts w:hint="eastAsia" w:ascii="宋体" w:hAnsi="宋体" w:eastAsia="宋体" w:cs="宋体"/>
          <w:color w:val="000000" w:themeColor="text1"/>
          <w:sz w:val="28"/>
          <w:szCs w:val="28"/>
        </w:rPr>
        <w:t>监测结果见表9-1。</w:t>
      </w:r>
    </w:p>
    <w:p>
      <w:pPr>
        <w:spacing w:line="360" w:lineRule="auto"/>
        <w:jc w:val="center"/>
        <w:rPr>
          <w:rFonts w:ascii="宋体" w:hAnsi="宋体" w:eastAsia="宋体" w:cs="宋体"/>
          <w:color w:val="000000" w:themeColor="text1"/>
          <w:sz w:val="28"/>
          <w:szCs w:val="28"/>
        </w:rPr>
      </w:pPr>
      <w:r>
        <w:rPr>
          <w:rFonts w:hint="eastAsia" w:ascii="宋体" w:hAnsi="宋体" w:eastAsia="宋体" w:cs="宋体"/>
          <w:b/>
          <w:bCs/>
          <w:color w:val="000000" w:themeColor="text1"/>
          <w:kern w:val="10"/>
          <w:szCs w:val="21"/>
        </w:rPr>
        <w:t>表9-1 污水监测结果</w:t>
      </w:r>
    </w:p>
    <w:tbl>
      <w:tblPr>
        <w:tblStyle w:val="11"/>
        <w:tblW w:w="8521" w:type="dxa"/>
        <w:tblInd w:w="91" w:type="dxa"/>
        <w:tblLayout w:type="fixed"/>
        <w:tblCellMar>
          <w:top w:w="0" w:type="dxa"/>
          <w:left w:w="108" w:type="dxa"/>
          <w:bottom w:w="0" w:type="dxa"/>
          <w:right w:w="108" w:type="dxa"/>
        </w:tblCellMar>
      </w:tblPr>
      <w:tblGrid>
        <w:gridCol w:w="654"/>
        <w:gridCol w:w="1389"/>
        <w:gridCol w:w="960"/>
        <w:gridCol w:w="1410"/>
        <w:gridCol w:w="1335"/>
        <w:gridCol w:w="1245"/>
        <w:gridCol w:w="1528"/>
      </w:tblGrid>
      <w:tr>
        <w:tblPrEx>
          <w:tblLayout w:type="fixed"/>
          <w:tblCellMar>
            <w:top w:w="0" w:type="dxa"/>
            <w:left w:w="108" w:type="dxa"/>
            <w:bottom w:w="0" w:type="dxa"/>
            <w:right w:w="108" w:type="dxa"/>
          </w:tblCellMar>
        </w:tblPrEx>
        <w:trPr>
          <w:trHeight w:val="454" w:hRule="atLeast"/>
        </w:trPr>
        <w:tc>
          <w:tcPr>
            <w:tcW w:w="654" w:type="dxa"/>
            <w:vMerge w:val="restart"/>
            <w:tcBorders>
              <w:top w:val="single" w:color="auto" w:sz="12" w:space="0"/>
              <w:left w:val="nil"/>
              <w:bottom w:val="single" w:color="auto" w:sz="4" w:space="0"/>
              <w:right w:val="single" w:color="auto" w:sz="4" w:space="0"/>
            </w:tcBorders>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序号</w:t>
            </w:r>
          </w:p>
        </w:tc>
        <w:tc>
          <w:tcPr>
            <w:tcW w:w="2349" w:type="dxa"/>
            <w:gridSpan w:val="2"/>
            <w:vMerge w:val="restart"/>
            <w:tcBorders>
              <w:top w:val="single" w:color="auto" w:sz="12" w:space="0"/>
              <w:left w:val="single" w:color="auto" w:sz="4" w:space="0"/>
              <w:bottom w:val="single" w:color="auto" w:sz="4" w:space="0"/>
              <w:right w:val="single" w:color="auto" w:sz="4" w:space="0"/>
            </w:tcBorders>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检测项目</w:t>
            </w:r>
          </w:p>
        </w:tc>
        <w:tc>
          <w:tcPr>
            <w:tcW w:w="5518" w:type="dxa"/>
            <w:gridSpan w:val="4"/>
            <w:tcBorders>
              <w:top w:val="single" w:color="auto" w:sz="12" w:space="0"/>
              <w:left w:val="single" w:color="auto" w:sz="4" w:space="0"/>
              <w:bottom w:val="single" w:color="auto" w:sz="4" w:space="0"/>
              <w:right w:val="nil"/>
            </w:tcBorders>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WS01：污水总排口</w:t>
            </w:r>
          </w:p>
        </w:tc>
      </w:tr>
      <w:tr>
        <w:tblPrEx>
          <w:tblLayout w:type="fixed"/>
          <w:tblCellMar>
            <w:top w:w="0" w:type="dxa"/>
            <w:left w:w="108" w:type="dxa"/>
            <w:bottom w:w="0" w:type="dxa"/>
            <w:right w:w="108" w:type="dxa"/>
          </w:tblCellMar>
        </w:tblPrEx>
        <w:trPr>
          <w:trHeight w:val="454" w:hRule="atLeast"/>
        </w:trPr>
        <w:tc>
          <w:tcPr>
            <w:tcW w:w="654" w:type="dxa"/>
            <w:vMerge w:val="continue"/>
            <w:tcBorders>
              <w:top w:val="single" w:color="auto" w:sz="4" w:space="0"/>
              <w:left w:val="nil"/>
              <w:bottom w:val="single" w:color="auto" w:sz="4" w:space="0"/>
              <w:right w:val="single" w:color="auto" w:sz="4" w:space="0"/>
            </w:tcBorders>
            <w:vAlign w:val="center"/>
          </w:tcPr>
          <w:p>
            <w:pPr>
              <w:widowControl/>
              <w:jc w:val="center"/>
              <w:rPr>
                <w:rFonts w:ascii="宋体" w:hAnsi="宋体" w:eastAsia="宋体" w:cs="宋体"/>
                <w:color w:val="000000"/>
                <w:kern w:val="0"/>
                <w:szCs w:val="21"/>
              </w:rPr>
            </w:pPr>
          </w:p>
        </w:tc>
        <w:tc>
          <w:tcPr>
            <w:tcW w:w="2349"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color w:val="000000"/>
                <w:kern w:val="0"/>
                <w:szCs w:val="21"/>
              </w:rPr>
            </w:pPr>
          </w:p>
        </w:tc>
        <w:tc>
          <w:tcPr>
            <w:tcW w:w="2745" w:type="dxa"/>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2018.01.31</w:t>
            </w:r>
          </w:p>
        </w:tc>
        <w:tc>
          <w:tcPr>
            <w:tcW w:w="2773" w:type="dxa"/>
            <w:gridSpan w:val="2"/>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2018.02.01</w:t>
            </w:r>
          </w:p>
        </w:tc>
      </w:tr>
      <w:tr>
        <w:tblPrEx>
          <w:tblLayout w:type="fixed"/>
          <w:tblCellMar>
            <w:top w:w="0" w:type="dxa"/>
            <w:left w:w="108" w:type="dxa"/>
            <w:bottom w:w="0" w:type="dxa"/>
            <w:right w:w="108" w:type="dxa"/>
          </w:tblCellMar>
        </w:tblPrEx>
        <w:trPr>
          <w:trHeight w:val="454" w:hRule="atLeast"/>
        </w:trPr>
        <w:tc>
          <w:tcPr>
            <w:tcW w:w="654"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宋体"/>
                <w:color w:val="000000"/>
                <w:kern w:val="0"/>
                <w:szCs w:val="21"/>
              </w:rPr>
            </w:pPr>
          </w:p>
        </w:tc>
        <w:tc>
          <w:tcPr>
            <w:tcW w:w="13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项目名称</w:t>
            </w:r>
          </w:p>
        </w:tc>
        <w:tc>
          <w:tcPr>
            <w:tcW w:w="96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单位</w:t>
            </w:r>
          </w:p>
        </w:tc>
        <w:tc>
          <w:tcPr>
            <w:tcW w:w="141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第1次</w:t>
            </w:r>
          </w:p>
        </w:tc>
        <w:tc>
          <w:tcPr>
            <w:tcW w:w="133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第2次</w:t>
            </w:r>
          </w:p>
        </w:tc>
        <w:tc>
          <w:tcPr>
            <w:tcW w:w="124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第1次</w:t>
            </w:r>
          </w:p>
        </w:tc>
        <w:tc>
          <w:tcPr>
            <w:tcW w:w="1528" w:type="dxa"/>
            <w:tcBorders>
              <w:top w:val="single" w:color="auto" w:sz="4" w:space="0"/>
              <w:left w:val="single" w:color="auto" w:sz="4" w:space="0"/>
              <w:bottom w:val="single" w:color="auto" w:sz="4" w:space="0"/>
              <w:right w:val="nil"/>
            </w:tcBorders>
            <w:vAlign w:val="center"/>
          </w:tcPr>
          <w:p>
            <w:pPr>
              <w:widowControl/>
              <w:jc w:val="center"/>
              <w:rPr>
                <w:rFonts w:ascii="宋体" w:hAnsi="宋体" w:eastAsia="宋体" w:cs="宋体"/>
                <w:kern w:val="0"/>
                <w:szCs w:val="21"/>
              </w:rPr>
            </w:pPr>
            <w:r>
              <w:rPr>
                <w:rFonts w:hint="eastAsia" w:ascii="宋体" w:hAnsi="宋体" w:eastAsia="宋体" w:cs="宋体"/>
                <w:kern w:val="0"/>
                <w:szCs w:val="21"/>
              </w:rPr>
              <w:t>第2次</w:t>
            </w:r>
          </w:p>
        </w:tc>
      </w:tr>
      <w:tr>
        <w:tblPrEx>
          <w:tblLayout w:type="fixed"/>
          <w:tblCellMar>
            <w:top w:w="0" w:type="dxa"/>
            <w:left w:w="108" w:type="dxa"/>
            <w:bottom w:w="0" w:type="dxa"/>
            <w:right w:w="108" w:type="dxa"/>
          </w:tblCellMar>
        </w:tblPrEx>
        <w:trPr>
          <w:trHeight w:val="454" w:hRule="atLeast"/>
        </w:trPr>
        <w:tc>
          <w:tcPr>
            <w:tcW w:w="654" w:type="dxa"/>
            <w:tcBorders>
              <w:top w:val="single" w:color="auto" w:sz="4" w:space="0"/>
              <w:left w:val="nil"/>
              <w:bottom w:val="single" w:color="auto" w:sz="4" w:space="0"/>
              <w:right w:val="single" w:color="auto" w:sz="4" w:space="0"/>
            </w:tcBorders>
            <w:vAlign w:val="center"/>
          </w:tcPr>
          <w:p>
            <w:pPr>
              <w:widowControl/>
              <w:numPr>
                <w:ilvl w:val="0"/>
                <w:numId w:val="2"/>
              </w:numPr>
              <w:jc w:val="center"/>
              <w:rPr>
                <w:rFonts w:ascii="宋体" w:hAnsi="宋体" w:eastAsia="宋体" w:cs="宋体"/>
                <w:kern w:val="0"/>
                <w:szCs w:val="21"/>
              </w:rPr>
            </w:pPr>
          </w:p>
        </w:tc>
        <w:tc>
          <w:tcPr>
            <w:tcW w:w="1389"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color w:val="000000"/>
                <w:szCs w:val="21"/>
              </w:rPr>
            </w:pPr>
            <w:r>
              <w:rPr>
                <w:rFonts w:hint="eastAsia" w:ascii="宋体" w:hAnsi="宋体" w:eastAsia="宋体" w:cs="宋体"/>
                <w:color w:val="000000"/>
                <w:szCs w:val="21"/>
              </w:rPr>
              <w:t>PH</w:t>
            </w:r>
          </w:p>
        </w:tc>
        <w:tc>
          <w:tcPr>
            <w:tcW w:w="9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color w:val="000000"/>
                <w:szCs w:val="21"/>
              </w:rPr>
            </w:pPr>
            <w:r>
              <w:rPr>
                <w:rFonts w:hint="eastAsia" w:ascii="宋体" w:hAnsi="宋体" w:eastAsia="宋体" w:cs="宋体"/>
                <w:color w:val="000000"/>
                <w:szCs w:val="21"/>
              </w:rPr>
              <w:t>——</w:t>
            </w:r>
          </w:p>
        </w:tc>
        <w:tc>
          <w:tcPr>
            <w:tcW w:w="141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8.23</w:t>
            </w:r>
          </w:p>
        </w:tc>
        <w:tc>
          <w:tcPr>
            <w:tcW w:w="133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8.20</w:t>
            </w:r>
          </w:p>
        </w:tc>
        <w:tc>
          <w:tcPr>
            <w:tcW w:w="124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8.21</w:t>
            </w:r>
          </w:p>
        </w:tc>
        <w:tc>
          <w:tcPr>
            <w:tcW w:w="1528" w:type="dxa"/>
            <w:tcBorders>
              <w:top w:val="single" w:color="auto" w:sz="4" w:space="0"/>
              <w:left w:val="single" w:color="auto" w:sz="4" w:space="0"/>
              <w:bottom w:val="single" w:color="auto" w:sz="4" w:space="0"/>
              <w:right w:val="nil"/>
            </w:tcBorders>
            <w:vAlign w:val="center"/>
          </w:tcPr>
          <w:p>
            <w:pPr>
              <w:jc w:val="center"/>
              <w:rPr>
                <w:rFonts w:ascii="宋体" w:hAnsi="宋体" w:eastAsia="宋体" w:cs="宋体"/>
                <w:szCs w:val="21"/>
              </w:rPr>
            </w:pPr>
            <w:r>
              <w:rPr>
                <w:rFonts w:hint="eastAsia" w:ascii="宋体" w:hAnsi="宋体" w:eastAsia="宋体" w:cs="宋体"/>
                <w:szCs w:val="21"/>
              </w:rPr>
              <w:t>8.22</w:t>
            </w:r>
          </w:p>
        </w:tc>
      </w:tr>
      <w:tr>
        <w:tblPrEx>
          <w:tblLayout w:type="fixed"/>
          <w:tblCellMar>
            <w:top w:w="0" w:type="dxa"/>
            <w:left w:w="108" w:type="dxa"/>
            <w:bottom w:w="0" w:type="dxa"/>
            <w:right w:w="108" w:type="dxa"/>
          </w:tblCellMar>
        </w:tblPrEx>
        <w:trPr>
          <w:trHeight w:val="454" w:hRule="atLeast"/>
        </w:trPr>
        <w:tc>
          <w:tcPr>
            <w:tcW w:w="654" w:type="dxa"/>
            <w:tcBorders>
              <w:top w:val="single" w:color="auto" w:sz="4" w:space="0"/>
              <w:left w:val="nil"/>
              <w:bottom w:val="single" w:color="auto" w:sz="4" w:space="0"/>
              <w:right w:val="single" w:color="auto" w:sz="4" w:space="0"/>
            </w:tcBorders>
            <w:vAlign w:val="center"/>
          </w:tcPr>
          <w:p>
            <w:pPr>
              <w:widowControl/>
              <w:numPr>
                <w:ilvl w:val="0"/>
                <w:numId w:val="2"/>
              </w:numPr>
              <w:jc w:val="center"/>
              <w:rPr>
                <w:rFonts w:ascii="宋体" w:hAnsi="宋体" w:eastAsia="宋体" w:cs="宋体"/>
                <w:kern w:val="0"/>
                <w:szCs w:val="21"/>
              </w:rPr>
            </w:pPr>
          </w:p>
        </w:tc>
        <w:tc>
          <w:tcPr>
            <w:tcW w:w="1389"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SS</w:t>
            </w:r>
          </w:p>
        </w:tc>
        <w:tc>
          <w:tcPr>
            <w:tcW w:w="9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color w:val="000000"/>
                <w:szCs w:val="21"/>
              </w:rPr>
            </w:pPr>
            <w:r>
              <w:rPr>
                <w:rFonts w:hint="eastAsia" w:ascii="宋体" w:hAnsi="宋体" w:eastAsia="宋体" w:cs="宋体"/>
                <w:color w:val="000000"/>
                <w:szCs w:val="21"/>
              </w:rPr>
              <w:t>mg/L</w:t>
            </w:r>
          </w:p>
        </w:tc>
        <w:tc>
          <w:tcPr>
            <w:tcW w:w="141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52</w:t>
            </w:r>
          </w:p>
        </w:tc>
        <w:tc>
          <w:tcPr>
            <w:tcW w:w="133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60</w:t>
            </w:r>
          </w:p>
        </w:tc>
        <w:tc>
          <w:tcPr>
            <w:tcW w:w="124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68</w:t>
            </w:r>
          </w:p>
        </w:tc>
        <w:tc>
          <w:tcPr>
            <w:tcW w:w="1528" w:type="dxa"/>
            <w:tcBorders>
              <w:top w:val="single" w:color="auto" w:sz="4" w:space="0"/>
              <w:left w:val="single" w:color="auto" w:sz="4" w:space="0"/>
              <w:bottom w:val="single" w:color="auto" w:sz="4" w:space="0"/>
              <w:right w:val="nil"/>
            </w:tcBorders>
            <w:vAlign w:val="center"/>
          </w:tcPr>
          <w:p>
            <w:pPr>
              <w:jc w:val="center"/>
              <w:rPr>
                <w:rFonts w:ascii="宋体" w:hAnsi="宋体" w:eastAsia="宋体" w:cs="宋体"/>
                <w:szCs w:val="21"/>
              </w:rPr>
            </w:pPr>
            <w:r>
              <w:rPr>
                <w:rFonts w:hint="eastAsia" w:ascii="宋体" w:hAnsi="宋体" w:eastAsia="宋体" w:cs="宋体"/>
                <w:szCs w:val="21"/>
              </w:rPr>
              <w:t>44</w:t>
            </w:r>
          </w:p>
        </w:tc>
      </w:tr>
      <w:tr>
        <w:tblPrEx>
          <w:tblLayout w:type="fixed"/>
          <w:tblCellMar>
            <w:top w:w="0" w:type="dxa"/>
            <w:left w:w="108" w:type="dxa"/>
            <w:bottom w:w="0" w:type="dxa"/>
            <w:right w:w="108" w:type="dxa"/>
          </w:tblCellMar>
        </w:tblPrEx>
        <w:trPr>
          <w:trHeight w:val="454" w:hRule="atLeast"/>
        </w:trPr>
        <w:tc>
          <w:tcPr>
            <w:tcW w:w="654" w:type="dxa"/>
            <w:tcBorders>
              <w:top w:val="single" w:color="auto" w:sz="4" w:space="0"/>
              <w:left w:val="nil"/>
              <w:bottom w:val="single" w:color="auto" w:sz="4" w:space="0"/>
              <w:right w:val="single" w:color="auto" w:sz="4" w:space="0"/>
            </w:tcBorders>
            <w:vAlign w:val="center"/>
          </w:tcPr>
          <w:p>
            <w:pPr>
              <w:widowControl/>
              <w:numPr>
                <w:ilvl w:val="0"/>
                <w:numId w:val="2"/>
              </w:numPr>
              <w:jc w:val="center"/>
              <w:rPr>
                <w:rFonts w:ascii="宋体" w:hAnsi="宋体" w:eastAsia="宋体" w:cs="宋体"/>
                <w:kern w:val="0"/>
                <w:szCs w:val="21"/>
              </w:rPr>
            </w:pPr>
          </w:p>
        </w:tc>
        <w:tc>
          <w:tcPr>
            <w:tcW w:w="1389"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CODcr</w:t>
            </w:r>
          </w:p>
        </w:tc>
        <w:tc>
          <w:tcPr>
            <w:tcW w:w="9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color w:val="000000"/>
                <w:szCs w:val="21"/>
              </w:rPr>
            </w:pPr>
            <w:r>
              <w:rPr>
                <w:rFonts w:hint="eastAsia" w:ascii="宋体" w:hAnsi="宋体" w:eastAsia="宋体" w:cs="宋体"/>
                <w:color w:val="000000"/>
                <w:szCs w:val="21"/>
              </w:rPr>
              <w:t>mg/L</w:t>
            </w:r>
          </w:p>
        </w:tc>
        <w:tc>
          <w:tcPr>
            <w:tcW w:w="141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223</w:t>
            </w:r>
          </w:p>
        </w:tc>
        <w:tc>
          <w:tcPr>
            <w:tcW w:w="133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220</w:t>
            </w:r>
          </w:p>
        </w:tc>
        <w:tc>
          <w:tcPr>
            <w:tcW w:w="124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218</w:t>
            </w:r>
          </w:p>
        </w:tc>
        <w:tc>
          <w:tcPr>
            <w:tcW w:w="1528" w:type="dxa"/>
            <w:tcBorders>
              <w:top w:val="single" w:color="auto" w:sz="4" w:space="0"/>
              <w:left w:val="single" w:color="auto" w:sz="4" w:space="0"/>
              <w:bottom w:val="single" w:color="auto" w:sz="4" w:space="0"/>
              <w:right w:val="nil"/>
            </w:tcBorders>
            <w:vAlign w:val="center"/>
          </w:tcPr>
          <w:p>
            <w:pPr>
              <w:jc w:val="center"/>
              <w:rPr>
                <w:rFonts w:ascii="宋体" w:hAnsi="宋体" w:eastAsia="宋体" w:cs="宋体"/>
                <w:szCs w:val="21"/>
              </w:rPr>
            </w:pPr>
            <w:r>
              <w:rPr>
                <w:rFonts w:hint="eastAsia" w:ascii="宋体" w:hAnsi="宋体" w:eastAsia="宋体" w:cs="宋体"/>
                <w:szCs w:val="21"/>
              </w:rPr>
              <w:t>212</w:t>
            </w:r>
          </w:p>
        </w:tc>
      </w:tr>
      <w:tr>
        <w:tblPrEx>
          <w:tblLayout w:type="fixed"/>
          <w:tblCellMar>
            <w:top w:w="0" w:type="dxa"/>
            <w:left w:w="108" w:type="dxa"/>
            <w:bottom w:w="0" w:type="dxa"/>
            <w:right w:w="108" w:type="dxa"/>
          </w:tblCellMar>
        </w:tblPrEx>
        <w:trPr>
          <w:trHeight w:val="454" w:hRule="atLeast"/>
        </w:trPr>
        <w:tc>
          <w:tcPr>
            <w:tcW w:w="654" w:type="dxa"/>
            <w:tcBorders>
              <w:top w:val="single" w:color="auto" w:sz="4" w:space="0"/>
              <w:left w:val="nil"/>
              <w:bottom w:val="single" w:color="auto" w:sz="4" w:space="0"/>
              <w:right w:val="single" w:color="auto" w:sz="4" w:space="0"/>
            </w:tcBorders>
            <w:vAlign w:val="center"/>
          </w:tcPr>
          <w:p>
            <w:pPr>
              <w:widowControl/>
              <w:numPr>
                <w:ilvl w:val="0"/>
                <w:numId w:val="2"/>
              </w:numPr>
              <w:jc w:val="center"/>
              <w:rPr>
                <w:rFonts w:ascii="宋体" w:hAnsi="宋体" w:eastAsia="宋体" w:cs="宋体"/>
                <w:kern w:val="0"/>
                <w:szCs w:val="21"/>
              </w:rPr>
            </w:pPr>
          </w:p>
        </w:tc>
        <w:tc>
          <w:tcPr>
            <w:tcW w:w="1389"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BOD</w:t>
            </w:r>
            <w:r>
              <w:rPr>
                <w:rFonts w:hint="eastAsia" w:ascii="宋体" w:hAnsi="宋体" w:eastAsia="宋体" w:cs="宋体"/>
                <w:color w:val="000000"/>
                <w:szCs w:val="21"/>
                <w:vertAlign w:val="subscript"/>
              </w:rPr>
              <w:t>5</w:t>
            </w:r>
          </w:p>
        </w:tc>
        <w:tc>
          <w:tcPr>
            <w:tcW w:w="9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color w:val="000000"/>
                <w:szCs w:val="21"/>
              </w:rPr>
            </w:pPr>
            <w:r>
              <w:rPr>
                <w:rFonts w:hint="eastAsia" w:ascii="宋体" w:hAnsi="宋体" w:eastAsia="宋体" w:cs="宋体"/>
                <w:color w:val="000000"/>
                <w:szCs w:val="21"/>
              </w:rPr>
              <w:t>mg/L</w:t>
            </w:r>
          </w:p>
        </w:tc>
        <w:tc>
          <w:tcPr>
            <w:tcW w:w="141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74.2</w:t>
            </w:r>
          </w:p>
        </w:tc>
        <w:tc>
          <w:tcPr>
            <w:tcW w:w="133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72.2</w:t>
            </w:r>
          </w:p>
        </w:tc>
        <w:tc>
          <w:tcPr>
            <w:tcW w:w="124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70.2</w:t>
            </w:r>
          </w:p>
        </w:tc>
        <w:tc>
          <w:tcPr>
            <w:tcW w:w="1528" w:type="dxa"/>
            <w:tcBorders>
              <w:top w:val="single" w:color="auto" w:sz="4" w:space="0"/>
              <w:left w:val="single" w:color="auto" w:sz="4" w:space="0"/>
              <w:bottom w:val="single" w:color="auto" w:sz="4" w:space="0"/>
              <w:right w:val="nil"/>
            </w:tcBorders>
            <w:vAlign w:val="center"/>
          </w:tcPr>
          <w:p>
            <w:pPr>
              <w:jc w:val="center"/>
              <w:rPr>
                <w:rFonts w:ascii="宋体" w:hAnsi="宋体" w:eastAsia="宋体" w:cs="宋体"/>
                <w:szCs w:val="21"/>
              </w:rPr>
            </w:pPr>
            <w:r>
              <w:rPr>
                <w:rFonts w:hint="eastAsia" w:ascii="宋体" w:hAnsi="宋体" w:eastAsia="宋体" w:cs="宋体"/>
                <w:szCs w:val="21"/>
              </w:rPr>
              <w:t>68.2</w:t>
            </w:r>
          </w:p>
        </w:tc>
      </w:tr>
      <w:tr>
        <w:tblPrEx>
          <w:tblLayout w:type="fixed"/>
          <w:tblCellMar>
            <w:top w:w="0" w:type="dxa"/>
            <w:left w:w="108" w:type="dxa"/>
            <w:bottom w:w="0" w:type="dxa"/>
            <w:right w:w="108" w:type="dxa"/>
          </w:tblCellMar>
        </w:tblPrEx>
        <w:trPr>
          <w:trHeight w:val="454" w:hRule="atLeast"/>
        </w:trPr>
        <w:tc>
          <w:tcPr>
            <w:tcW w:w="654" w:type="dxa"/>
            <w:tcBorders>
              <w:top w:val="single" w:color="auto" w:sz="4" w:space="0"/>
              <w:left w:val="nil"/>
              <w:bottom w:val="single" w:color="auto" w:sz="4" w:space="0"/>
              <w:right w:val="single" w:color="auto" w:sz="4" w:space="0"/>
            </w:tcBorders>
            <w:vAlign w:val="center"/>
          </w:tcPr>
          <w:p>
            <w:pPr>
              <w:widowControl/>
              <w:numPr>
                <w:ilvl w:val="0"/>
                <w:numId w:val="2"/>
              </w:numPr>
              <w:jc w:val="center"/>
              <w:rPr>
                <w:rFonts w:ascii="宋体" w:hAnsi="宋体" w:eastAsia="宋体" w:cs="宋体"/>
                <w:kern w:val="0"/>
                <w:szCs w:val="21"/>
              </w:rPr>
            </w:pPr>
          </w:p>
        </w:tc>
        <w:tc>
          <w:tcPr>
            <w:tcW w:w="1389"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动植物油</w:t>
            </w:r>
          </w:p>
        </w:tc>
        <w:tc>
          <w:tcPr>
            <w:tcW w:w="9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color w:val="000000"/>
                <w:szCs w:val="21"/>
              </w:rPr>
            </w:pPr>
            <w:r>
              <w:rPr>
                <w:rFonts w:hint="eastAsia" w:ascii="宋体" w:hAnsi="宋体" w:eastAsia="宋体" w:cs="宋体"/>
                <w:color w:val="000000"/>
                <w:szCs w:val="21"/>
              </w:rPr>
              <w:t>mg/L</w:t>
            </w:r>
          </w:p>
        </w:tc>
        <w:tc>
          <w:tcPr>
            <w:tcW w:w="141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1.30</w:t>
            </w:r>
          </w:p>
        </w:tc>
        <w:tc>
          <w:tcPr>
            <w:tcW w:w="133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1.37</w:t>
            </w:r>
          </w:p>
        </w:tc>
        <w:tc>
          <w:tcPr>
            <w:tcW w:w="124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1.36</w:t>
            </w:r>
          </w:p>
        </w:tc>
        <w:tc>
          <w:tcPr>
            <w:tcW w:w="1528" w:type="dxa"/>
            <w:tcBorders>
              <w:top w:val="single" w:color="auto" w:sz="4" w:space="0"/>
              <w:left w:val="single" w:color="auto" w:sz="4" w:space="0"/>
              <w:bottom w:val="single" w:color="auto" w:sz="4" w:space="0"/>
              <w:right w:val="nil"/>
            </w:tcBorders>
            <w:vAlign w:val="center"/>
          </w:tcPr>
          <w:p>
            <w:pPr>
              <w:jc w:val="center"/>
              <w:rPr>
                <w:rFonts w:ascii="宋体" w:hAnsi="宋体" w:eastAsia="宋体" w:cs="宋体"/>
                <w:szCs w:val="21"/>
              </w:rPr>
            </w:pPr>
            <w:r>
              <w:rPr>
                <w:rFonts w:hint="eastAsia" w:ascii="宋体" w:hAnsi="宋体" w:eastAsia="宋体" w:cs="宋体"/>
                <w:szCs w:val="21"/>
              </w:rPr>
              <w:t>1.33</w:t>
            </w:r>
          </w:p>
        </w:tc>
      </w:tr>
      <w:tr>
        <w:tblPrEx>
          <w:tblLayout w:type="fixed"/>
          <w:tblCellMar>
            <w:top w:w="0" w:type="dxa"/>
            <w:left w:w="108" w:type="dxa"/>
            <w:bottom w:w="0" w:type="dxa"/>
            <w:right w:w="108" w:type="dxa"/>
          </w:tblCellMar>
        </w:tblPrEx>
        <w:trPr>
          <w:trHeight w:val="454" w:hRule="atLeast"/>
        </w:trPr>
        <w:tc>
          <w:tcPr>
            <w:tcW w:w="654" w:type="dxa"/>
            <w:tcBorders>
              <w:top w:val="single" w:color="auto" w:sz="4" w:space="0"/>
              <w:left w:val="nil"/>
              <w:bottom w:val="single" w:color="auto" w:sz="4" w:space="0"/>
              <w:right w:val="single" w:color="auto" w:sz="4" w:space="0"/>
            </w:tcBorders>
            <w:vAlign w:val="center"/>
          </w:tcPr>
          <w:p>
            <w:pPr>
              <w:widowControl/>
              <w:numPr>
                <w:ilvl w:val="0"/>
                <w:numId w:val="2"/>
              </w:numPr>
              <w:jc w:val="center"/>
              <w:rPr>
                <w:rFonts w:ascii="宋体" w:hAnsi="宋体" w:eastAsia="宋体" w:cs="宋体"/>
                <w:kern w:val="0"/>
                <w:szCs w:val="21"/>
              </w:rPr>
            </w:pPr>
          </w:p>
        </w:tc>
        <w:tc>
          <w:tcPr>
            <w:tcW w:w="1389"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阴离子表面活性剂</w:t>
            </w:r>
          </w:p>
        </w:tc>
        <w:tc>
          <w:tcPr>
            <w:tcW w:w="9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color w:val="000000"/>
                <w:szCs w:val="21"/>
              </w:rPr>
            </w:pPr>
            <w:r>
              <w:rPr>
                <w:rFonts w:hint="eastAsia" w:ascii="宋体" w:hAnsi="宋体" w:eastAsia="宋体" w:cs="宋体"/>
                <w:color w:val="000000"/>
                <w:szCs w:val="21"/>
              </w:rPr>
              <w:t>mg/L</w:t>
            </w:r>
          </w:p>
        </w:tc>
        <w:tc>
          <w:tcPr>
            <w:tcW w:w="141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6.03</w:t>
            </w:r>
          </w:p>
        </w:tc>
        <w:tc>
          <w:tcPr>
            <w:tcW w:w="133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5.94</w:t>
            </w:r>
          </w:p>
        </w:tc>
        <w:tc>
          <w:tcPr>
            <w:tcW w:w="124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5.88</w:t>
            </w:r>
          </w:p>
        </w:tc>
        <w:tc>
          <w:tcPr>
            <w:tcW w:w="1528" w:type="dxa"/>
            <w:tcBorders>
              <w:top w:val="single" w:color="auto" w:sz="4" w:space="0"/>
              <w:left w:val="single" w:color="auto" w:sz="4" w:space="0"/>
              <w:bottom w:val="single" w:color="auto" w:sz="4" w:space="0"/>
              <w:right w:val="nil"/>
            </w:tcBorders>
            <w:vAlign w:val="center"/>
          </w:tcPr>
          <w:p>
            <w:pPr>
              <w:jc w:val="center"/>
              <w:rPr>
                <w:rFonts w:ascii="宋体" w:hAnsi="宋体" w:eastAsia="宋体" w:cs="宋体"/>
                <w:szCs w:val="21"/>
              </w:rPr>
            </w:pPr>
            <w:r>
              <w:rPr>
                <w:rFonts w:hint="eastAsia" w:ascii="宋体" w:hAnsi="宋体" w:eastAsia="宋体" w:cs="宋体"/>
                <w:szCs w:val="21"/>
              </w:rPr>
              <w:t>5.97</w:t>
            </w:r>
          </w:p>
        </w:tc>
      </w:tr>
      <w:tr>
        <w:tblPrEx>
          <w:tblLayout w:type="fixed"/>
          <w:tblCellMar>
            <w:top w:w="0" w:type="dxa"/>
            <w:left w:w="108" w:type="dxa"/>
            <w:bottom w:w="0" w:type="dxa"/>
            <w:right w:w="108" w:type="dxa"/>
          </w:tblCellMar>
        </w:tblPrEx>
        <w:trPr>
          <w:trHeight w:val="454" w:hRule="atLeast"/>
        </w:trPr>
        <w:tc>
          <w:tcPr>
            <w:tcW w:w="654" w:type="dxa"/>
            <w:tcBorders>
              <w:top w:val="single" w:color="auto" w:sz="4" w:space="0"/>
              <w:left w:val="nil"/>
              <w:bottom w:val="single" w:color="auto" w:sz="4" w:space="0"/>
              <w:right w:val="single" w:color="auto" w:sz="4" w:space="0"/>
            </w:tcBorders>
            <w:vAlign w:val="center"/>
          </w:tcPr>
          <w:p>
            <w:pPr>
              <w:widowControl/>
              <w:numPr>
                <w:ilvl w:val="0"/>
                <w:numId w:val="2"/>
              </w:numPr>
              <w:jc w:val="center"/>
              <w:rPr>
                <w:rFonts w:ascii="宋体" w:hAnsi="宋体" w:eastAsia="宋体" w:cs="宋体"/>
                <w:kern w:val="0"/>
                <w:szCs w:val="21"/>
              </w:rPr>
            </w:pPr>
          </w:p>
        </w:tc>
        <w:tc>
          <w:tcPr>
            <w:tcW w:w="1389"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氨氮</w:t>
            </w:r>
          </w:p>
        </w:tc>
        <w:tc>
          <w:tcPr>
            <w:tcW w:w="9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color w:val="000000"/>
                <w:szCs w:val="21"/>
              </w:rPr>
            </w:pPr>
            <w:r>
              <w:rPr>
                <w:rFonts w:hint="eastAsia" w:ascii="宋体" w:hAnsi="宋体" w:eastAsia="宋体" w:cs="宋体"/>
                <w:color w:val="000000"/>
                <w:szCs w:val="21"/>
              </w:rPr>
              <w:t>mg/L</w:t>
            </w:r>
          </w:p>
        </w:tc>
        <w:tc>
          <w:tcPr>
            <w:tcW w:w="141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117</w:t>
            </w:r>
          </w:p>
        </w:tc>
        <w:tc>
          <w:tcPr>
            <w:tcW w:w="133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123</w:t>
            </w:r>
          </w:p>
        </w:tc>
        <w:tc>
          <w:tcPr>
            <w:tcW w:w="1245"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111</w:t>
            </w:r>
          </w:p>
        </w:tc>
        <w:tc>
          <w:tcPr>
            <w:tcW w:w="1528" w:type="dxa"/>
            <w:tcBorders>
              <w:top w:val="single" w:color="auto" w:sz="4" w:space="0"/>
              <w:left w:val="single" w:color="auto" w:sz="4" w:space="0"/>
              <w:bottom w:val="single" w:color="auto" w:sz="4" w:space="0"/>
              <w:right w:val="nil"/>
            </w:tcBorders>
            <w:vAlign w:val="center"/>
          </w:tcPr>
          <w:p>
            <w:pPr>
              <w:jc w:val="center"/>
              <w:rPr>
                <w:rFonts w:ascii="宋体" w:hAnsi="宋体" w:eastAsia="宋体" w:cs="宋体"/>
                <w:szCs w:val="21"/>
              </w:rPr>
            </w:pPr>
            <w:r>
              <w:rPr>
                <w:rFonts w:hint="eastAsia" w:ascii="宋体" w:hAnsi="宋体" w:eastAsia="宋体" w:cs="宋体"/>
                <w:szCs w:val="21"/>
              </w:rPr>
              <w:t>120</w:t>
            </w:r>
          </w:p>
        </w:tc>
      </w:tr>
      <w:tr>
        <w:tblPrEx>
          <w:tblLayout w:type="fixed"/>
          <w:tblCellMar>
            <w:top w:w="0" w:type="dxa"/>
            <w:left w:w="108" w:type="dxa"/>
            <w:bottom w:w="0" w:type="dxa"/>
            <w:right w:w="108" w:type="dxa"/>
          </w:tblCellMar>
        </w:tblPrEx>
        <w:trPr>
          <w:trHeight w:val="454" w:hRule="atLeast"/>
        </w:trPr>
        <w:tc>
          <w:tcPr>
            <w:tcW w:w="654" w:type="dxa"/>
            <w:tcBorders>
              <w:top w:val="single" w:color="auto" w:sz="4" w:space="0"/>
              <w:left w:val="nil"/>
              <w:bottom w:val="single" w:color="auto" w:sz="12" w:space="0"/>
              <w:right w:val="single" w:color="auto" w:sz="4" w:space="0"/>
            </w:tcBorders>
            <w:vAlign w:val="center"/>
          </w:tcPr>
          <w:p>
            <w:pPr>
              <w:widowControl/>
              <w:numPr>
                <w:ilvl w:val="0"/>
                <w:numId w:val="2"/>
              </w:numPr>
              <w:jc w:val="center"/>
              <w:rPr>
                <w:rFonts w:ascii="宋体" w:hAnsi="宋体" w:eastAsia="宋体" w:cs="宋体"/>
                <w:kern w:val="0"/>
                <w:szCs w:val="21"/>
              </w:rPr>
            </w:pPr>
          </w:p>
        </w:tc>
        <w:tc>
          <w:tcPr>
            <w:tcW w:w="1389" w:type="dxa"/>
            <w:tcBorders>
              <w:top w:val="single" w:color="auto" w:sz="4" w:space="0"/>
              <w:left w:val="single" w:color="auto" w:sz="4" w:space="0"/>
              <w:bottom w:val="single" w:color="auto" w:sz="12"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粪大肠菌群</w:t>
            </w:r>
          </w:p>
        </w:tc>
        <w:tc>
          <w:tcPr>
            <w:tcW w:w="960" w:type="dxa"/>
            <w:tcBorders>
              <w:top w:val="single" w:color="auto" w:sz="4" w:space="0"/>
              <w:left w:val="single" w:color="auto" w:sz="4" w:space="0"/>
              <w:bottom w:val="single" w:color="auto" w:sz="12" w:space="0"/>
              <w:right w:val="single" w:color="auto" w:sz="4" w:space="0"/>
            </w:tcBorders>
            <w:vAlign w:val="center"/>
          </w:tcPr>
          <w:p>
            <w:pPr>
              <w:jc w:val="center"/>
              <w:rPr>
                <w:rFonts w:ascii="宋体" w:hAnsi="宋体" w:eastAsia="宋体" w:cs="宋体"/>
                <w:color w:val="000000"/>
                <w:szCs w:val="21"/>
              </w:rPr>
            </w:pPr>
            <w:r>
              <w:rPr>
                <w:rFonts w:hint="eastAsia" w:ascii="宋体" w:hAnsi="宋体" w:eastAsia="宋体" w:cs="宋体"/>
                <w:color w:val="000000"/>
                <w:szCs w:val="21"/>
              </w:rPr>
              <w:t>个/L</w:t>
            </w:r>
          </w:p>
        </w:tc>
        <w:tc>
          <w:tcPr>
            <w:tcW w:w="1410" w:type="dxa"/>
            <w:tcBorders>
              <w:top w:val="single" w:color="auto" w:sz="4" w:space="0"/>
              <w:left w:val="single" w:color="auto" w:sz="4" w:space="0"/>
              <w:bottom w:val="single" w:color="auto" w:sz="12"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&gt;24000</w:t>
            </w:r>
          </w:p>
        </w:tc>
        <w:tc>
          <w:tcPr>
            <w:tcW w:w="1335" w:type="dxa"/>
            <w:tcBorders>
              <w:top w:val="single" w:color="auto" w:sz="4" w:space="0"/>
              <w:left w:val="single" w:color="auto" w:sz="4" w:space="0"/>
              <w:bottom w:val="single" w:color="auto" w:sz="12"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&gt;24000</w:t>
            </w:r>
          </w:p>
        </w:tc>
        <w:tc>
          <w:tcPr>
            <w:tcW w:w="1245" w:type="dxa"/>
            <w:tcBorders>
              <w:top w:val="single" w:color="auto" w:sz="4" w:space="0"/>
              <w:left w:val="single" w:color="auto" w:sz="4" w:space="0"/>
              <w:bottom w:val="single" w:color="auto" w:sz="12" w:space="0"/>
              <w:right w:val="single" w:color="auto" w:sz="4" w:space="0"/>
            </w:tcBorders>
            <w:vAlign w:val="center"/>
          </w:tcPr>
          <w:p>
            <w:pPr>
              <w:jc w:val="center"/>
              <w:rPr>
                <w:rFonts w:ascii="宋体" w:hAnsi="宋体" w:eastAsia="宋体" w:cs="宋体"/>
                <w:szCs w:val="21"/>
              </w:rPr>
            </w:pPr>
            <w:r>
              <w:rPr>
                <w:rFonts w:hint="eastAsia" w:ascii="宋体" w:hAnsi="宋体" w:eastAsia="宋体" w:cs="宋体"/>
                <w:szCs w:val="21"/>
              </w:rPr>
              <w:t>&gt;24000</w:t>
            </w:r>
          </w:p>
        </w:tc>
        <w:tc>
          <w:tcPr>
            <w:tcW w:w="1528" w:type="dxa"/>
            <w:tcBorders>
              <w:top w:val="single" w:color="auto" w:sz="4" w:space="0"/>
              <w:left w:val="single" w:color="auto" w:sz="4" w:space="0"/>
              <w:bottom w:val="single" w:color="auto" w:sz="12" w:space="0"/>
              <w:right w:val="nil"/>
            </w:tcBorders>
            <w:vAlign w:val="center"/>
          </w:tcPr>
          <w:p>
            <w:pPr>
              <w:jc w:val="center"/>
              <w:rPr>
                <w:rFonts w:ascii="宋体" w:hAnsi="宋体" w:eastAsia="宋体" w:cs="宋体"/>
                <w:szCs w:val="21"/>
              </w:rPr>
            </w:pPr>
            <w:r>
              <w:rPr>
                <w:rFonts w:hint="eastAsia" w:ascii="宋体" w:hAnsi="宋体" w:eastAsia="宋体" w:cs="宋体"/>
                <w:szCs w:val="21"/>
              </w:rPr>
              <w:t>&gt;24000</w:t>
            </w:r>
          </w:p>
        </w:tc>
      </w:tr>
    </w:tbl>
    <w:p>
      <w:pPr>
        <w:spacing w:line="360" w:lineRule="auto"/>
        <w:rPr>
          <w:rFonts w:ascii="宋体" w:hAnsi="宋体" w:eastAsia="宋体" w:cs="宋体"/>
          <w:b/>
          <w:bCs/>
          <w:sz w:val="11"/>
          <w:szCs w:val="11"/>
        </w:rPr>
      </w:pPr>
    </w:p>
    <w:p>
      <w:pPr>
        <w:spacing w:line="360" w:lineRule="auto"/>
        <w:ind w:firstLine="560" w:firstLineChars="200"/>
        <w:rPr>
          <w:rFonts w:ascii="宋体" w:hAnsi="宋体" w:eastAsia="宋体" w:cs="宋体"/>
          <w:sz w:val="28"/>
          <w:szCs w:val="28"/>
        </w:rPr>
      </w:pPr>
      <w:r>
        <w:rPr>
          <w:rFonts w:hint="eastAsia" w:ascii="宋体" w:hAnsi="宋体" w:eastAsia="宋体" w:cs="宋体"/>
          <w:color w:val="000000" w:themeColor="text1"/>
          <w:sz w:val="28"/>
          <w:szCs w:val="28"/>
        </w:rPr>
        <w:t>由表9-1可知，本项目化粪池出口水质pH值范围为8.20～8.23，污染物日最大监测值分别为：SS68</w:t>
      </w:r>
      <w:r>
        <w:rPr>
          <w:rFonts w:hint="eastAsia" w:ascii="宋体" w:hAnsi="宋体" w:eastAsia="宋体" w:cs="宋体"/>
          <w:color w:val="000000"/>
          <w:sz w:val="28"/>
          <w:szCs w:val="28"/>
        </w:rPr>
        <w:t>mg/L；</w:t>
      </w:r>
      <w:r>
        <w:rPr>
          <w:rFonts w:hint="eastAsia" w:ascii="宋体" w:hAnsi="宋体" w:eastAsia="宋体" w:cs="宋体"/>
          <w:sz w:val="28"/>
          <w:szCs w:val="28"/>
        </w:rPr>
        <w:t>COD</w:t>
      </w:r>
      <w:r>
        <w:rPr>
          <w:rFonts w:hint="eastAsia" w:ascii="宋体" w:hAnsi="宋体" w:eastAsia="宋体" w:cs="宋体"/>
          <w:sz w:val="28"/>
          <w:szCs w:val="28"/>
          <w:vertAlign w:val="subscript"/>
        </w:rPr>
        <w:t>cr</w:t>
      </w:r>
      <w:r>
        <w:rPr>
          <w:rFonts w:hint="eastAsia" w:ascii="宋体" w:hAnsi="宋体" w:eastAsia="宋体" w:cs="宋体"/>
          <w:sz w:val="28"/>
          <w:szCs w:val="28"/>
        </w:rPr>
        <w:t>223</w:t>
      </w:r>
      <w:r>
        <w:rPr>
          <w:rFonts w:hint="eastAsia" w:ascii="宋体" w:hAnsi="宋体" w:eastAsia="宋体" w:cs="宋体"/>
          <w:color w:val="000000"/>
          <w:sz w:val="28"/>
          <w:szCs w:val="28"/>
        </w:rPr>
        <w:t>mg/L；</w:t>
      </w:r>
      <w:r>
        <w:rPr>
          <w:rFonts w:hint="eastAsia" w:ascii="宋体" w:hAnsi="宋体" w:eastAsia="宋体" w:cs="宋体"/>
          <w:sz w:val="28"/>
          <w:szCs w:val="28"/>
        </w:rPr>
        <w:t>BOD</w:t>
      </w:r>
      <w:r>
        <w:rPr>
          <w:rFonts w:hint="eastAsia" w:ascii="宋体" w:hAnsi="宋体" w:eastAsia="宋体" w:cs="宋体"/>
          <w:color w:val="000000"/>
          <w:sz w:val="28"/>
          <w:szCs w:val="28"/>
          <w:vertAlign w:val="subscript"/>
        </w:rPr>
        <w:t>5</w:t>
      </w:r>
      <w:r>
        <w:rPr>
          <w:rFonts w:hint="eastAsia" w:ascii="宋体" w:hAnsi="宋体" w:eastAsia="宋体" w:cs="宋体"/>
          <w:color w:val="000000"/>
          <w:sz w:val="28"/>
          <w:szCs w:val="28"/>
        </w:rPr>
        <w:t>74.2mg/L；</w:t>
      </w:r>
      <w:r>
        <w:rPr>
          <w:rFonts w:hint="eastAsia" w:ascii="宋体" w:hAnsi="宋体" w:eastAsia="宋体" w:cs="宋体"/>
          <w:sz w:val="28"/>
          <w:szCs w:val="28"/>
        </w:rPr>
        <w:t>动植物油1.37</w:t>
      </w:r>
      <w:r>
        <w:rPr>
          <w:rFonts w:hint="eastAsia" w:ascii="宋体" w:hAnsi="宋体" w:eastAsia="宋体" w:cs="宋体"/>
          <w:color w:val="000000"/>
          <w:sz w:val="28"/>
          <w:szCs w:val="28"/>
        </w:rPr>
        <w:t>mg/L；</w:t>
      </w:r>
      <w:r>
        <w:rPr>
          <w:rFonts w:hint="eastAsia" w:ascii="宋体" w:hAnsi="宋体" w:eastAsia="宋体" w:cs="宋体"/>
          <w:sz w:val="28"/>
          <w:szCs w:val="28"/>
        </w:rPr>
        <w:t>阴离子表面活性剂6.03</w:t>
      </w:r>
      <w:r>
        <w:rPr>
          <w:rFonts w:hint="eastAsia" w:ascii="宋体" w:hAnsi="宋体" w:eastAsia="宋体" w:cs="宋体"/>
          <w:color w:val="000000"/>
          <w:sz w:val="28"/>
          <w:szCs w:val="28"/>
        </w:rPr>
        <w:t>mg/L</w:t>
      </w:r>
      <w:r>
        <w:rPr>
          <w:rFonts w:hint="eastAsia" w:ascii="宋体" w:hAnsi="宋体" w:eastAsia="宋体" w:cs="宋体"/>
          <w:sz w:val="28"/>
          <w:szCs w:val="28"/>
        </w:rPr>
        <w:t>；氨氮123</w:t>
      </w:r>
      <w:r>
        <w:rPr>
          <w:rFonts w:hint="eastAsia" w:ascii="宋体" w:hAnsi="宋体" w:eastAsia="宋体" w:cs="宋体"/>
          <w:color w:val="000000"/>
          <w:sz w:val="28"/>
          <w:szCs w:val="28"/>
        </w:rPr>
        <w:t>mg/L</w:t>
      </w:r>
      <w:r>
        <w:rPr>
          <w:rFonts w:hint="eastAsia" w:ascii="宋体" w:hAnsi="宋体" w:eastAsia="宋体" w:cs="宋体"/>
          <w:sz w:val="28"/>
          <w:szCs w:val="28"/>
        </w:rPr>
        <w:t>；粪大肠菌群大于24000个/L。</w:t>
      </w:r>
    </w:p>
    <w:p>
      <w:pPr>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sz w:val="28"/>
          <w:szCs w:val="28"/>
        </w:rPr>
        <w:t>本项目生活污水委托拉运至</w:t>
      </w:r>
      <w:r>
        <w:rPr>
          <w:rFonts w:hint="eastAsia" w:ascii="宋体" w:hAnsi="宋体" w:eastAsia="宋体" w:cs="宋体"/>
          <w:color w:val="000000" w:themeColor="text1"/>
          <w:sz w:val="28"/>
          <w:szCs w:val="28"/>
        </w:rPr>
        <w:t>呼和浩特市大禹排水综合服务有限公司清运至金桥污水处理厂进行处理，故不对本次监测结果进行评价。</w:t>
      </w: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ind w:firstLine="560" w:firstLineChars="200"/>
        <w:rPr>
          <w:rFonts w:ascii="宋体" w:hAnsi="宋体" w:eastAsia="宋体" w:cs="宋体"/>
          <w:color w:val="000000" w:themeColor="text1"/>
          <w:sz w:val="28"/>
          <w:szCs w:val="28"/>
        </w:rPr>
      </w:pPr>
    </w:p>
    <w:p>
      <w:pPr>
        <w:spacing w:line="360" w:lineRule="auto"/>
        <w:rPr>
          <w:rFonts w:ascii="宋体" w:hAnsi="宋体" w:eastAsia="宋体" w:cs="宋体"/>
          <w:color w:val="000000" w:themeColor="text1"/>
          <w:sz w:val="28"/>
          <w:szCs w:val="28"/>
        </w:rPr>
      </w:pPr>
    </w:p>
    <w:p>
      <w:pPr>
        <w:spacing w:line="360" w:lineRule="auto"/>
        <w:outlineLvl w:val="0"/>
        <w:rPr>
          <w:rFonts w:ascii="宋体" w:hAnsi="宋体" w:eastAsia="宋体" w:cs="宋体"/>
          <w:b/>
          <w:bCs/>
          <w:sz w:val="30"/>
          <w:szCs w:val="30"/>
        </w:rPr>
      </w:pPr>
      <w:bookmarkStart w:id="39" w:name="_Toc28370"/>
      <w:r>
        <w:rPr>
          <w:rFonts w:hint="eastAsia" w:ascii="宋体" w:hAnsi="宋体" w:eastAsia="宋体" w:cs="宋体"/>
          <w:b/>
          <w:bCs/>
          <w:sz w:val="30"/>
          <w:szCs w:val="30"/>
        </w:rPr>
        <w:t>10固体废弃物影响调查</w:t>
      </w:r>
      <w:bookmarkEnd w:id="39"/>
    </w:p>
    <w:p>
      <w:pPr>
        <w:spacing w:line="360" w:lineRule="auto"/>
        <w:outlineLvl w:val="1"/>
        <w:rPr>
          <w:rFonts w:ascii="宋体" w:hAnsi="宋体" w:eastAsia="宋体" w:cs="宋体"/>
          <w:b/>
          <w:bCs/>
          <w:sz w:val="30"/>
          <w:szCs w:val="30"/>
        </w:rPr>
      </w:pPr>
      <w:bookmarkStart w:id="40" w:name="_Toc12352"/>
      <w:r>
        <w:rPr>
          <w:rFonts w:hint="eastAsia" w:ascii="宋体" w:hAnsi="宋体" w:eastAsia="宋体" w:cs="宋体"/>
          <w:b/>
          <w:bCs/>
          <w:sz w:val="30"/>
          <w:szCs w:val="30"/>
        </w:rPr>
        <w:t>10.1施工期废弃物影响调查</w:t>
      </w:r>
      <w:bookmarkEnd w:id="40"/>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施工期废弃的建筑材料</w:t>
      </w:r>
      <w:r>
        <w:rPr>
          <w:rFonts w:hint="eastAsia" w:ascii="宋体" w:hAnsi="宋体" w:eastAsia="宋体" w:cs="宋体"/>
          <w:color w:val="000000" w:themeColor="text1"/>
          <w:sz w:val="28"/>
          <w:szCs w:val="28"/>
        </w:rPr>
        <w:t>及施工人员的生活垃圾，分类收集，集中堆放，统一收集后运至相关部门指定地点进行处理。</w:t>
      </w:r>
    </w:p>
    <w:p>
      <w:pPr>
        <w:spacing w:line="360" w:lineRule="auto"/>
        <w:outlineLvl w:val="1"/>
        <w:rPr>
          <w:rFonts w:ascii="宋体" w:hAnsi="宋体" w:eastAsia="宋体" w:cs="宋体"/>
          <w:b/>
          <w:bCs/>
          <w:sz w:val="30"/>
          <w:szCs w:val="30"/>
        </w:rPr>
      </w:pPr>
      <w:bookmarkStart w:id="41" w:name="_Toc31299"/>
      <w:r>
        <w:rPr>
          <w:rFonts w:hint="eastAsia" w:ascii="宋体" w:hAnsi="宋体" w:eastAsia="宋体" w:cs="宋体"/>
          <w:b/>
          <w:bCs/>
          <w:sz w:val="30"/>
          <w:szCs w:val="30"/>
        </w:rPr>
        <w:t>10.2运营期废弃物影响调查</w:t>
      </w:r>
      <w:bookmarkEnd w:id="41"/>
    </w:p>
    <w:p>
      <w:pPr>
        <w:spacing w:line="360" w:lineRule="auto"/>
        <w:ind w:firstLine="560" w:firstLineChars="200"/>
        <w:rPr>
          <w:rFonts w:ascii="宋体" w:hAnsi="宋体" w:eastAsia="宋体" w:cs="宋体"/>
          <w:b/>
          <w:bCs/>
          <w:sz w:val="28"/>
          <w:szCs w:val="28"/>
        </w:rPr>
      </w:pPr>
      <w:r>
        <w:rPr>
          <w:rFonts w:hint="eastAsia" w:ascii="宋体" w:hAnsi="宋体" w:eastAsia="宋体" w:cs="宋体"/>
          <w:color w:val="000000"/>
          <w:sz w:val="28"/>
          <w:szCs w:val="28"/>
          <w:lang w:val="zh-CN"/>
        </w:rPr>
        <w:t>本项目运行期间产生的固体废物主要为生活垃圾</w:t>
      </w:r>
      <w:r>
        <w:rPr>
          <w:rFonts w:hint="eastAsia" w:ascii="宋体" w:hAnsi="宋体" w:eastAsia="宋体" w:cs="宋体"/>
          <w:color w:val="000000"/>
          <w:sz w:val="28"/>
          <w:szCs w:val="28"/>
        </w:rPr>
        <w:t>，生活垃圾定期收集后，交由新城区环卫部门统一处置</w:t>
      </w:r>
      <w:r>
        <w:rPr>
          <w:rFonts w:hint="eastAsia" w:ascii="宋体" w:hAnsi="宋体" w:eastAsia="宋体" w:cs="宋体"/>
          <w:color w:val="000000" w:themeColor="text1"/>
          <w:sz w:val="28"/>
          <w:szCs w:val="28"/>
        </w:rPr>
        <w:t>。</w:t>
      </w: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outlineLvl w:val="0"/>
        <w:rPr>
          <w:rFonts w:ascii="宋体" w:hAnsi="宋体" w:eastAsia="宋体" w:cs="宋体"/>
          <w:b/>
          <w:bCs/>
          <w:sz w:val="30"/>
          <w:szCs w:val="30"/>
        </w:rPr>
      </w:pPr>
      <w:bookmarkStart w:id="42" w:name="_Toc21252"/>
      <w:r>
        <w:rPr>
          <w:rFonts w:hint="eastAsia" w:ascii="宋体" w:hAnsi="宋体" w:eastAsia="宋体" w:cs="宋体"/>
          <w:b/>
          <w:bCs/>
          <w:sz w:val="30"/>
          <w:szCs w:val="30"/>
        </w:rPr>
        <w:t>11环境管理检查</w:t>
      </w:r>
      <w:bookmarkEnd w:id="42"/>
    </w:p>
    <w:p>
      <w:pPr>
        <w:jc w:val="left"/>
        <w:outlineLvl w:val="1"/>
        <w:rPr>
          <w:rFonts w:ascii="宋体" w:hAnsi="宋体" w:eastAsia="宋体" w:cs="宋体"/>
          <w:b/>
          <w:sz w:val="28"/>
          <w:szCs w:val="28"/>
        </w:rPr>
      </w:pPr>
      <w:bookmarkStart w:id="43" w:name="_Toc16210"/>
      <w:r>
        <w:rPr>
          <w:rFonts w:hint="eastAsia" w:ascii="宋体" w:hAnsi="宋体" w:eastAsia="宋体" w:cs="宋体"/>
          <w:b/>
          <w:sz w:val="28"/>
          <w:szCs w:val="28"/>
        </w:rPr>
        <w:t>11.1执行国家建设项目环境管理制度的情况</w:t>
      </w:r>
      <w:bookmarkEnd w:id="43"/>
    </w:p>
    <w:p>
      <w:pPr>
        <w:ind w:firstLine="560" w:firstLineChars="200"/>
        <w:jc w:val="left"/>
        <w:rPr>
          <w:rFonts w:ascii="宋体" w:hAnsi="宋体" w:eastAsia="宋体"/>
          <w:sz w:val="28"/>
        </w:rPr>
      </w:pPr>
      <w:r>
        <w:rPr>
          <w:rFonts w:hint="eastAsia" w:ascii="宋体" w:hAnsi="宋体" w:eastAsia="宋体"/>
          <w:sz w:val="28"/>
        </w:rPr>
        <w:t>本项目按照国家有关建设项目环境管理法律法规的要求进行了环境影响评价，履行了环境影响审批手续，按照环境影响评价文件、环评批复要求落实了环保设施的建设，环保设施与主体工程同时设计、同时施工、同时投入使用，</w:t>
      </w:r>
      <w:r>
        <w:rPr>
          <w:rFonts w:hint="eastAsia" w:ascii="宋体" w:hAnsi="宋体"/>
          <w:sz w:val="28"/>
        </w:rPr>
        <w:t>基本执行了</w:t>
      </w:r>
      <w:r>
        <w:rPr>
          <w:rFonts w:hint="eastAsia" w:ascii="Times New Roman" w:hAnsi="Times New Roman" w:eastAsia="Times New Roman"/>
          <w:sz w:val="28"/>
        </w:rPr>
        <w:t>“</w:t>
      </w:r>
      <w:r>
        <w:rPr>
          <w:rFonts w:hint="eastAsia" w:ascii="宋体" w:hAnsi="宋体"/>
          <w:sz w:val="28"/>
        </w:rPr>
        <w:t>三同时</w:t>
      </w:r>
      <w:r>
        <w:rPr>
          <w:rFonts w:hint="eastAsia" w:ascii="Times New Roman" w:hAnsi="Times New Roman" w:eastAsia="Times New Roman"/>
          <w:sz w:val="28"/>
        </w:rPr>
        <w:t>”</w:t>
      </w:r>
      <w:r>
        <w:rPr>
          <w:rFonts w:hint="eastAsia" w:ascii="宋体" w:hAnsi="宋体"/>
          <w:sz w:val="28"/>
        </w:rPr>
        <w:t>环境管理制度</w:t>
      </w:r>
      <w:r>
        <w:rPr>
          <w:rFonts w:hint="eastAsia" w:ascii="宋体" w:hAnsi="宋体" w:eastAsia="宋体"/>
          <w:sz w:val="28"/>
        </w:rPr>
        <w:t>。</w:t>
      </w:r>
    </w:p>
    <w:p>
      <w:pPr>
        <w:jc w:val="left"/>
        <w:outlineLvl w:val="1"/>
        <w:rPr>
          <w:rFonts w:ascii="宋体" w:hAnsi="宋体" w:eastAsia="宋体" w:cs="宋体"/>
          <w:b/>
          <w:sz w:val="28"/>
          <w:szCs w:val="28"/>
        </w:rPr>
      </w:pPr>
      <w:bookmarkStart w:id="44" w:name="_Toc1507"/>
      <w:r>
        <w:rPr>
          <w:rFonts w:hint="eastAsia" w:ascii="宋体" w:hAnsi="宋体" w:eastAsia="宋体" w:cs="宋体"/>
          <w:b/>
          <w:sz w:val="28"/>
          <w:szCs w:val="28"/>
        </w:rPr>
        <w:t>11.2环评批复落实情况</w:t>
      </w:r>
      <w:bookmarkEnd w:id="44"/>
    </w:p>
    <w:p>
      <w:pPr>
        <w:spacing w:line="360" w:lineRule="auto"/>
        <w:jc w:val="center"/>
        <w:rPr>
          <w:rFonts w:ascii="宋体" w:hAnsi="宋体" w:eastAsia="宋体" w:cs="宋体"/>
          <w:b/>
          <w:bCs/>
          <w:szCs w:val="21"/>
        </w:rPr>
      </w:pPr>
      <w:r>
        <w:rPr>
          <w:rFonts w:hint="eastAsia" w:ascii="宋体" w:hAnsi="宋体" w:eastAsia="宋体" w:cs="宋体"/>
          <w:b/>
          <w:bCs/>
          <w:szCs w:val="21"/>
        </w:rPr>
        <w:t>表9-1 环评批复的落实情况</w:t>
      </w:r>
    </w:p>
    <w:tbl>
      <w:tblPr>
        <w:tblStyle w:val="12"/>
        <w:tblW w:w="852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41"/>
        <w:gridCol w:w="3564"/>
        <w:gridCol w:w="11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trPr>
        <w:tc>
          <w:tcPr>
            <w:tcW w:w="3841" w:type="dxa"/>
            <w:tcBorders>
              <w:top w:val="single" w:color="auto" w:sz="12" w:space="0"/>
              <w:left w:val="nil"/>
              <w:bottom w:val="single" w:color="auto" w:sz="12" w:space="0"/>
              <w:right w:val="nil"/>
            </w:tcBorders>
          </w:tcPr>
          <w:p>
            <w:pPr>
              <w:spacing w:line="280" w:lineRule="exact"/>
              <w:jc w:val="center"/>
              <w:rPr>
                <w:rFonts w:ascii="宋体" w:hAnsi="宋体" w:eastAsia="宋体" w:cs="宋体"/>
                <w:b/>
                <w:bCs/>
                <w:szCs w:val="21"/>
              </w:rPr>
            </w:pPr>
            <w:r>
              <w:rPr>
                <w:rFonts w:hint="eastAsia" w:ascii="宋体" w:hAnsi="宋体" w:eastAsia="宋体" w:cs="宋体"/>
                <w:szCs w:val="21"/>
              </w:rPr>
              <w:t>环评批复要求</w:t>
            </w:r>
          </w:p>
        </w:tc>
        <w:tc>
          <w:tcPr>
            <w:tcW w:w="3564" w:type="dxa"/>
            <w:tcBorders>
              <w:top w:val="single" w:color="auto" w:sz="12" w:space="0"/>
              <w:left w:val="nil"/>
              <w:bottom w:val="single" w:color="auto" w:sz="12" w:space="0"/>
              <w:right w:val="nil"/>
            </w:tcBorders>
          </w:tcPr>
          <w:p>
            <w:pPr>
              <w:spacing w:line="280" w:lineRule="exact"/>
              <w:jc w:val="center"/>
              <w:rPr>
                <w:rFonts w:ascii="宋体" w:hAnsi="宋体" w:eastAsia="宋体" w:cs="宋体"/>
                <w:szCs w:val="21"/>
              </w:rPr>
            </w:pPr>
            <w:r>
              <w:rPr>
                <w:rFonts w:hint="eastAsia" w:ascii="宋体" w:hAnsi="宋体" w:eastAsia="宋体" w:cs="宋体"/>
                <w:szCs w:val="21"/>
              </w:rPr>
              <w:t>落实情况</w:t>
            </w:r>
          </w:p>
        </w:tc>
        <w:tc>
          <w:tcPr>
            <w:tcW w:w="1122" w:type="dxa"/>
            <w:tcBorders>
              <w:top w:val="single" w:color="auto" w:sz="12" w:space="0"/>
              <w:left w:val="nil"/>
              <w:bottom w:val="single" w:color="auto" w:sz="12" w:space="0"/>
              <w:right w:val="nil"/>
            </w:tcBorders>
          </w:tcPr>
          <w:p>
            <w:pPr>
              <w:spacing w:line="280" w:lineRule="exact"/>
              <w:jc w:val="center"/>
              <w:rPr>
                <w:rFonts w:ascii="宋体" w:hAnsi="宋体" w:eastAsia="宋体" w:cs="宋体"/>
                <w:szCs w:val="21"/>
              </w:rPr>
            </w:pPr>
            <w:r>
              <w:rPr>
                <w:rFonts w:hint="eastAsia" w:ascii="宋体" w:hAnsi="宋体" w:eastAsia="宋体" w:cs="宋体"/>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34" w:hRule="atLeast"/>
        </w:trPr>
        <w:tc>
          <w:tcPr>
            <w:tcW w:w="3841" w:type="dxa"/>
            <w:tcBorders>
              <w:top w:val="single" w:color="auto" w:sz="12" w:space="0"/>
              <w:left w:val="nil"/>
            </w:tcBorders>
          </w:tcPr>
          <w:p>
            <w:pPr>
              <w:spacing w:line="280" w:lineRule="exact"/>
              <w:rPr>
                <w:rFonts w:ascii="宋体" w:hAnsi="宋体" w:eastAsia="宋体" w:cs="宋体"/>
                <w:szCs w:val="21"/>
              </w:rPr>
            </w:pPr>
            <w:r>
              <w:rPr>
                <w:rFonts w:hint="eastAsia" w:ascii="宋体" w:hAnsi="宋体" w:eastAsia="宋体" w:cs="宋体"/>
                <w:szCs w:val="21"/>
              </w:rPr>
              <w:t>项目位于旅游风景区，同时是我市地下水一类保护区，项目在营运过程中产生的废水、废气、固废等都从严要求，按《报告书》提出的措施逐一落实。</w:t>
            </w:r>
          </w:p>
        </w:tc>
        <w:tc>
          <w:tcPr>
            <w:tcW w:w="3564" w:type="dxa"/>
            <w:tcBorders>
              <w:top w:val="single" w:color="auto" w:sz="12" w:space="0"/>
              <w:right w:val="nil"/>
            </w:tcBorders>
          </w:tcPr>
          <w:p>
            <w:pPr>
              <w:jc w:val="left"/>
              <w:rPr>
                <w:rFonts w:ascii="宋体" w:hAnsi="宋体" w:eastAsia="宋体" w:cs="宋体"/>
                <w:szCs w:val="21"/>
              </w:rPr>
            </w:pPr>
            <w:r>
              <w:rPr>
                <w:rFonts w:hint="eastAsia" w:ascii="宋体" w:hAnsi="宋体" w:eastAsia="宋体" w:cs="宋体"/>
                <w:szCs w:val="21"/>
              </w:rPr>
              <w:t>水源地重新划分后，本项目位于水源地二级保护区范围之外</w:t>
            </w:r>
            <w:r>
              <w:rPr>
                <w:rFonts w:hint="eastAsia" w:ascii="宋体" w:hAnsi="宋体" w:eastAsia="宋体" w:cs="宋体"/>
                <w:bCs/>
                <w:color w:val="000000" w:themeColor="text1"/>
                <w:szCs w:val="21"/>
              </w:rPr>
              <w:t>（</w:t>
            </w:r>
            <w:r>
              <w:rPr>
                <w:rFonts w:hint="eastAsia" w:ascii="宋体" w:hAnsi="宋体" w:eastAsia="宋体" w:cs="宋体"/>
                <w:bCs/>
                <w:szCs w:val="21"/>
              </w:rPr>
              <w:t>本项目在水源地的地理位置图见图11.1），</w:t>
            </w:r>
            <w:r>
              <w:rPr>
                <w:rFonts w:hint="eastAsia" w:ascii="宋体" w:hAnsi="宋体" w:eastAsia="宋体" w:cs="宋体"/>
                <w:szCs w:val="21"/>
              </w:rPr>
              <w:t>建设单位严格按照报告书提出的污染防治措施进行落实。</w:t>
            </w:r>
          </w:p>
        </w:tc>
        <w:tc>
          <w:tcPr>
            <w:tcW w:w="1122" w:type="dxa"/>
            <w:tcBorders>
              <w:top w:val="single" w:color="auto" w:sz="12" w:space="0"/>
              <w:right w:val="nil"/>
            </w:tcBorders>
            <w:vAlign w:val="center"/>
          </w:tcPr>
          <w:p>
            <w:pPr>
              <w:spacing w:line="280" w:lineRule="exact"/>
              <w:jc w:val="center"/>
              <w:rPr>
                <w:rFonts w:ascii="宋体" w:hAnsi="宋体" w:eastAsia="宋体" w:cs="宋体"/>
                <w:szCs w:val="21"/>
              </w:rPr>
            </w:pPr>
            <w:r>
              <w:rPr>
                <w:rFonts w:hint="eastAsia" w:ascii="宋体" w:hAnsi="宋体" w:eastAsia="宋体" w:cs="宋体"/>
                <w:szCs w:val="21"/>
              </w:rPr>
              <w:t>基本符合批复要求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841" w:type="dxa"/>
            <w:tcBorders>
              <w:left w:val="nil"/>
            </w:tcBorders>
          </w:tcPr>
          <w:p>
            <w:pPr>
              <w:spacing w:line="280" w:lineRule="exact"/>
              <w:rPr>
                <w:rFonts w:ascii="宋体" w:hAnsi="宋体" w:eastAsia="宋体" w:cs="宋体"/>
                <w:szCs w:val="21"/>
              </w:rPr>
            </w:pPr>
            <w:r>
              <w:rPr>
                <w:rFonts w:hint="eastAsia" w:ascii="宋体" w:hAnsi="宋体" w:eastAsia="宋体" w:cs="宋体"/>
                <w:szCs w:val="21"/>
              </w:rPr>
              <w:t>废水必须经处理达到《污水综合排放标准》（GB8978-96）一级标准后综合利用和回用，不准利用渗透、渗井或漫流方式排放污水。</w:t>
            </w:r>
          </w:p>
        </w:tc>
        <w:tc>
          <w:tcPr>
            <w:tcW w:w="3564" w:type="dxa"/>
            <w:tcBorders>
              <w:right w:val="nil"/>
            </w:tcBorders>
            <w:vAlign w:val="center"/>
          </w:tcPr>
          <w:p>
            <w:pPr>
              <w:spacing w:line="280" w:lineRule="exact"/>
              <w:jc w:val="center"/>
              <w:rPr>
                <w:rFonts w:ascii="宋体" w:hAnsi="宋体" w:eastAsia="宋体" w:cs="宋体"/>
                <w:color w:val="000000" w:themeColor="text1"/>
                <w:szCs w:val="21"/>
              </w:rPr>
            </w:pPr>
            <w:r>
              <w:rPr>
                <w:rFonts w:hint="eastAsia" w:ascii="宋体" w:hAnsi="宋体" w:eastAsia="宋体" w:cs="宋体"/>
                <w:color w:val="000000" w:themeColor="text1"/>
                <w:szCs w:val="21"/>
              </w:rPr>
              <w:t>未建设地埋式一体化污水处理设备，本项目产生的生活污水经防渗化粪池沉淀后由呼和浩特市大禹排水综合服务有限公司拉运至金桥污水处理厂进行处理。</w:t>
            </w:r>
          </w:p>
        </w:tc>
        <w:tc>
          <w:tcPr>
            <w:tcW w:w="1122" w:type="dxa"/>
            <w:tcBorders>
              <w:right w:val="nil"/>
            </w:tcBorders>
            <w:vAlign w:val="center"/>
          </w:tcPr>
          <w:p>
            <w:pPr>
              <w:spacing w:line="280" w:lineRule="exact"/>
              <w:jc w:val="center"/>
              <w:rPr>
                <w:rFonts w:ascii="宋体" w:hAnsi="宋体" w:eastAsia="宋体" w:cs="宋体"/>
                <w:color w:val="000000" w:themeColor="text1"/>
                <w:szCs w:val="21"/>
              </w:rPr>
            </w:pPr>
            <w:r>
              <w:rPr>
                <w:rFonts w:hint="eastAsia" w:ascii="宋体" w:hAnsi="宋体" w:eastAsia="宋体" w:cs="宋体"/>
                <w:color w:val="000000" w:themeColor="text1"/>
                <w:szCs w:val="21"/>
              </w:rPr>
              <w:t>污水处置措施可行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841" w:type="dxa"/>
            <w:tcBorders>
              <w:left w:val="nil"/>
            </w:tcBorders>
          </w:tcPr>
          <w:p>
            <w:pPr>
              <w:spacing w:line="280" w:lineRule="exact"/>
              <w:rPr>
                <w:rFonts w:ascii="宋体" w:hAnsi="宋体" w:eastAsia="宋体" w:cs="宋体"/>
                <w:szCs w:val="21"/>
              </w:rPr>
            </w:pPr>
            <w:r>
              <w:rPr>
                <w:rFonts w:hint="eastAsia" w:ascii="宋体" w:hAnsi="宋体" w:eastAsia="宋体" w:cs="宋体"/>
                <w:szCs w:val="21"/>
              </w:rPr>
              <w:t>锅炉应使用燃气锅炉，所排大气污染物应符合《锅炉大气污染物排放标准》（GB13271-2001）中Ⅱ时段一类区标准。</w:t>
            </w:r>
          </w:p>
        </w:tc>
        <w:tc>
          <w:tcPr>
            <w:tcW w:w="3564" w:type="dxa"/>
            <w:tcBorders>
              <w:right w:val="nil"/>
            </w:tcBorders>
            <w:vAlign w:val="center"/>
          </w:tcPr>
          <w:p>
            <w:pPr>
              <w:spacing w:line="280" w:lineRule="exact"/>
              <w:jc w:val="center"/>
              <w:rPr>
                <w:rFonts w:ascii="宋体" w:hAnsi="宋体" w:eastAsia="宋体" w:cs="宋体"/>
                <w:szCs w:val="21"/>
              </w:rPr>
            </w:pPr>
            <w:r>
              <w:rPr>
                <w:rFonts w:hint="eastAsia" w:ascii="宋体" w:hAnsi="宋体" w:eastAsia="宋体" w:cs="宋体"/>
                <w:szCs w:val="21"/>
              </w:rPr>
              <w:t>2016年建设单位将燃煤锅炉更换为燃气锅炉，该项目共配备3台燃气锅炉，2台1t/h，1台0.5t/h。锅炉烟囱高度为8m，直径0.4m</w:t>
            </w:r>
          </w:p>
        </w:tc>
        <w:tc>
          <w:tcPr>
            <w:tcW w:w="1122" w:type="dxa"/>
            <w:tcBorders>
              <w:right w:val="nil"/>
            </w:tcBorders>
            <w:vAlign w:val="center"/>
          </w:tcPr>
          <w:p>
            <w:pPr>
              <w:spacing w:line="280" w:lineRule="exact"/>
              <w:jc w:val="center"/>
              <w:rPr>
                <w:rFonts w:ascii="宋体" w:hAnsi="宋体" w:eastAsia="宋体" w:cs="宋体"/>
                <w:szCs w:val="21"/>
              </w:rPr>
            </w:pPr>
            <w:r>
              <w:rPr>
                <w:rFonts w:hint="eastAsia" w:ascii="宋体" w:hAnsi="宋体" w:eastAsia="宋体" w:cs="宋体"/>
                <w:szCs w:val="21"/>
              </w:rPr>
              <w:t>烟囱高度已整改为8m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841" w:type="dxa"/>
            <w:tcBorders>
              <w:left w:val="nil"/>
            </w:tcBorders>
            <w:vAlign w:val="center"/>
          </w:tcPr>
          <w:p>
            <w:pPr>
              <w:spacing w:line="280" w:lineRule="exact"/>
              <w:jc w:val="left"/>
              <w:rPr>
                <w:rFonts w:ascii="宋体" w:hAnsi="宋体" w:eastAsia="宋体" w:cs="宋体"/>
                <w:szCs w:val="21"/>
              </w:rPr>
            </w:pPr>
            <w:r>
              <w:rPr>
                <w:rFonts w:hint="eastAsia" w:ascii="宋体" w:hAnsi="宋体" w:eastAsia="宋体" w:cs="宋体"/>
                <w:szCs w:val="21"/>
              </w:rPr>
              <w:t>及时收集垃圾及其它固体废弃物，运往垃圾场处理，不可随意在周围倾倒堆置</w:t>
            </w:r>
          </w:p>
        </w:tc>
        <w:tc>
          <w:tcPr>
            <w:tcW w:w="3564" w:type="dxa"/>
            <w:tcBorders>
              <w:right w:val="nil"/>
            </w:tcBorders>
            <w:vAlign w:val="center"/>
          </w:tcPr>
          <w:p>
            <w:pPr>
              <w:spacing w:line="280" w:lineRule="exact"/>
              <w:rPr>
                <w:rFonts w:ascii="宋体" w:hAnsi="宋体" w:eastAsia="宋体" w:cs="宋体"/>
                <w:szCs w:val="21"/>
              </w:rPr>
            </w:pPr>
            <w:r>
              <w:rPr>
                <w:rFonts w:hint="eastAsia" w:ascii="宋体" w:hAnsi="宋体" w:eastAsia="宋体" w:cs="宋体"/>
                <w:szCs w:val="21"/>
              </w:rPr>
              <w:t>本项目产生的生活垃圾统一收集后交新城区环卫部门统一处置；餐厨垃圾交由</w:t>
            </w:r>
            <w:r>
              <w:rPr>
                <w:rFonts w:hint="eastAsia" w:ascii="宋体" w:hAnsi="宋体" w:eastAsia="宋体" w:cs="宋体"/>
                <w:color w:val="000000" w:themeColor="text1"/>
                <w:szCs w:val="21"/>
              </w:rPr>
              <w:t>呼和浩特市城环环境治理有限公司收集处置；废油脂交由呼和浩特市联发废油脂有限公司回收处置。</w:t>
            </w:r>
          </w:p>
        </w:tc>
        <w:tc>
          <w:tcPr>
            <w:tcW w:w="1122" w:type="dxa"/>
            <w:tcBorders>
              <w:right w:val="nil"/>
            </w:tcBorders>
            <w:vAlign w:val="center"/>
          </w:tcPr>
          <w:p>
            <w:pPr>
              <w:spacing w:line="280" w:lineRule="exact"/>
              <w:rPr>
                <w:rFonts w:ascii="宋体" w:hAnsi="宋体" w:eastAsia="宋体" w:cs="宋体"/>
                <w:szCs w:val="21"/>
              </w:rPr>
            </w:pPr>
            <w:r>
              <w:rPr>
                <w:rFonts w:hint="eastAsia" w:ascii="宋体" w:hAnsi="宋体" w:eastAsia="宋体" w:cs="宋体"/>
                <w:szCs w:val="21"/>
              </w:rPr>
              <w:t>符合批复要求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841" w:type="dxa"/>
            <w:tcBorders>
              <w:left w:val="nil"/>
            </w:tcBorders>
          </w:tcPr>
          <w:p>
            <w:pPr>
              <w:spacing w:line="280" w:lineRule="exact"/>
              <w:rPr>
                <w:rFonts w:ascii="宋体" w:hAnsi="宋体" w:eastAsia="宋体" w:cs="宋体"/>
                <w:szCs w:val="21"/>
              </w:rPr>
            </w:pPr>
            <w:r>
              <w:rPr>
                <w:rFonts w:hint="eastAsia" w:ascii="宋体" w:hAnsi="宋体" w:eastAsia="宋体" w:cs="宋体"/>
                <w:szCs w:val="21"/>
              </w:rPr>
              <w:t>所有设施在外形设计上要与景观相协调。</w:t>
            </w:r>
          </w:p>
        </w:tc>
        <w:tc>
          <w:tcPr>
            <w:tcW w:w="3564" w:type="dxa"/>
            <w:tcBorders>
              <w:right w:val="nil"/>
            </w:tcBorders>
            <w:vAlign w:val="center"/>
          </w:tcPr>
          <w:p>
            <w:pPr>
              <w:spacing w:line="280" w:lineRule="exact"/>
              <w:jc w:val="center"/>
              <w:rPr>
                <w:rFonts w:ascii="宋体" w:hAnsi="宋体" w:eastAsia="宋体" w:cs="宋体"/>
                <w:szCs w:val="21"/>
              </w:rPr>
            </w:pPr>
            <w:r>
              <w:rPr>
                <w:rFonts w:hint="eastAsia" w:ascii="宋体" w:hAnsi="宋体" w:eastAsia="宋体" w:cs="宋体"/>
                <w:szCs w:val="21"/>
              </w:rPr>
              <w:t>已落实</w:t>
            </w:r>
          </w:p>
        </w:tc>
        <w:tc>
          <w:tcPr>
            <w:tcW w:w="1122" w:type="dxa"/>
            <w:tcBorders>
              <w:right w:val="nil"/>
            </w:tcBorders>
            <w:vAlign w:val="center"/>
          </w:tcPr>
          <w:p>
            <w:pPr>
              <w:spacing w:line="280" w:lineRule="exact"/>
              <w:jc w:val="center"/>
              <w:rPr>
                <w:rFonts w:ascii="宋体" w:hAnsi="宋体" w:eastAsia="宋体" w:cs="宋体"/>
                <w:szCs w:val="21"/>
              </w:rPr>
            </w:pPr>
            <w:r>
              <w:rPr>
                <w:rFonts w:hint="eastAsia" w:ascii="宋体" w:hAnsi="宋体" w:eastAsia="宋体" w:cs="宋体"/>
                <w:szCs w:val="21"/>
              </w:rPr>
              <w:t>符合批复要求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841" w:type="dxa"/>
            <w:tcBorders>
              <w:left w:val="nil"/>
            </w:tcBorders>
          </w:tcPr>
          <w:p>
            <w:pPr>
              <w:spacing w:line="280" w:lineRule="exact"/>
              <w:rPr>
                <w:rFonts w:ascii="宋体" w:hAnsi="宋体" w:eastAsia="宋体" w:cs="宋体"/>
                <w:szCs w:val="21"/>
              </w:rPr>
            </w:pPr>
            <w:r>
              <w:rPr>
                <w:rFonts w:hint="eastAsia" w:ascii="宋体" w:hAnsi="宋体" w:eastAsia="宋体" w:cs="宋体"/>
                <w:szCs w:val="21"/>
              </w:rPr>
              <w:t>项目营运后要保持当地现有的生态环境功能，做好生态环境的保护工作，水要循环使用以减少地下水损失；因地制宜地植树种草，美化环境；项目建设过程中产生的废土石不能随意倾倒和堆置，要采取措施复垦，恢复植被。</w:t>
            </w:r>
          </w:p>
        </w:tc>
        <w:tc>
          <w:tcPr>
            <w:tcW w:w="3564" w:type="dxa"/>
            <w:tcBorders>
              <w:right w:val="nil"/>
            </w:tcBorders>
            <w:vAlign w:val="center"/>
          </w:tcPr>
          <w:p>
            <w:pPr>
              <w:spacing w:line="280" w:lineRule="exact"/>
              <w:jc w:val="center"/>
              <w:rPr>
                <w:rFonts w:ascii="宋体" w:hAnsi="宋体" w:eastAsia="宋体" w:cs="宋体"/>
                <w:szCs w:val="21"/>
              </w:rPr>
            </w:pPr>
            <w:r>
              <w:rPr>
                <w:rFonts w:hint="eastAsia" w:ascii="宋体" w:hAnsi="宋体" w:eastAsia="宋体" w:cs="宋体"/>
                <w:szCs w:val="21"/>
              </w:rPr>
              <w:t>项目建成后，对产权式酒店内进行了绿化和景观设计，绿化率达到58%。</w:t>
            </w:r>
          </w:p>
        </w:tc>
        <w:tc>
          <w:tcPr>
            <w:tcW w:w="1122" w:type="dxa"/>
            <w:tcBorders>
              <w:right w:val="nil"/>
            </w:tcBorders>
            <w:vAlign w:val="center"/>
          </w:tcPr>
          <w:p>
            <w:pPr>
              <w:spacing w:line="280" w:lineRule="exact"/>
              <w:jc w:val="center"/>
              <w:rPr>
                <w:rFonts w:ascii="宋体" w:hAnsi="宋体" w:eastAsia="宋体" w:cs="宋体"/>
                <w:szCs w:val="21"/>
              </w:rPr>
            </w:pPr>
            <w:r>
              <w:rPr>
                <w:rFonts w:hint="eastAsia" w:ascii="宋体" w:hAnsi="宋体" w:eastAsia="宋体" w:cs="宋体"/>
                <w:szCs w:val="21"/>
              </w:rPr>
              <w:t>符合批复要求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841" w:type="dxa"/>
            <w:tcBorders>
              <w:left w:val="nil"/>
              <w:bottom w:val="single" w:color="auto" w:sz="12" w:space="0"/>
            </w:tcBorders>
            <w:vAlign w:val="center"/>
          </w:tcPr>
          <w:p>
            <w:pPr>
              <w:spacing w:line="280" w:lineRule="exact"/>
              <w:rPr>
                <w:rFonts w:ascii="宋体" w:hAnsi="宋体" w:eastAsia="宋体" w:cs="宋体"/>
                <w:szCs w:val="21"/>
              </w:rPr>
            </w:pPr>
            <w:r>
              <w:rPr>
                <w:rFonts w:hint="eastAsia" w:ascii="宋体" w:hAnsi="宋体" w:eastAsia="宋体" w:cs="宋体"/>
                <w:szCs w:val="21"/>
              </w:rPr>
              <w:t>做好日常环境保护监管工作，加强管理，保证各项污染防治设施正常运转。</w:t>
            </w:r>
          </w:p>
        </w:tc>
        <w:tc>
          <w:tcPr>
            <w:tcW w:w="3564" w:type="dxa"/>
            <w:tcBorders>
              <w:bottom w:val="single" w:color="auto" w:sz="12" w:space="0"/>
              <w:right w:val="nil"/>
            </w:tcBorders>
            <w:vAlign w:val="center"/>
          </w:tcPr>
          <w:p>
            <w:pPr>
              <w:spacing w:line="280" w:lineRule="exact"/>
              <w:jc w:val="center"/>
              <w:rPr>
                <w:rFonts w:ascii="宋体" w:hAnsi="宋体" w:eastAsia="宋体" w:cs="宋体"/>
                <w:szCs w:val="21"/>
              </w:rPr>
            </w:pPr>
            <w:r>
              <w:rPr>
                <w:rFonts w:hint="eastAsia" w:ascii="宋体" w:hAnsi="宋体" w:eastAsia="宋体" w:cs="宋体"/>
                <w:szCs w:val="21"/>
              </w:rPr>
              <w:t>成立环保小组，设置专人对锅炉、化粪池绿化等定期进行维护，确保其正常运转。</w:t>
            </w:r>
          </w:p>
        </w:tc>
        <w:tc>
          <w:tcPr>
            <w:tcW w:w="1122" w:type="dxa"/>
            <w:tcBorders>
              <w:bottom w:val="single" w:color="auto" w:sz="12" w:space="0"/>
              <w:right w:val="nil"/>
            </w:tcBorders>
            <w:vAlign w:val="center"/>
          </w:tcPr>
          <w:p>
            <w:pPr>
              <w:spacing w:line="280" w:lineRule="exact"/>
              <w:jc w:val="center"/>
              <w:rPr>
                <w:rFonts w:ascii="宋体" w:hAnsi="宋体" w:eastAsia="宋体" w:cs="宋体"/>
                <w:szCs w:val="21"/>
              </w:rPr>
            </w:pPr>
            <w:r>
              <w:rPr>
                <w:rFonts w:hint="eastAsia" w:ascii="宋体" w:hAnsi="宋体" w:eastAsia="宋体" w:cs="宋体"/>
                <w:szCs w:val="21"/>
              </w:rPr>
              <w:t>符合批复要求</w:t>
            </w:r>
          </w:p>
        </w:tc>
      </w:tr>
    </w:tbl>
    <w:p>
      <w:pPr>
        <w:spacing w:line="360" w:lineRule="auto"/>
        <w:jc w:val="both"/>
        <w:rPr>
          <w:rFonts w:ascii="宋体" w:hAnsi="宋体" w:eastAsia="宋体" w:cs="宋体"/>
          <w:b/>
          <w:bCs/>
          <w:sz w:val="28"/>
          <w:szCs w:val="28"/>
        </w:rPr>
      </w:pPr>
      <w:r>
        <w:rPr>
          <w:rFonts w:hint="eastAsia"/>
        </w:rPr>
        <w:drawing>
          <wp:anchor distT="0" distB="0" distL="114300" distR="114300" simplePos="0" relativeHeight="251664384" behindDoc="0" locked="0" layoutInCell="1" allowOverlap="1">
            <wp:simplePos x="0" y="0"/>
            <wp:positionH relativeFrom="column">
              <wp:posOffset>-1470660</wp:posOffset>
            </wp:positionH>
            <wp:positionV relativeFrom="paragraph">
              <wp:posOffset>1602105</wp:posOffset>
            </wp:positionV>
            <wp:extent cx="7840345" cy="4711700"/>
            <wp:effectExtent l="0" t="0" r="12700" b="8255"/>
            <wp:wrapTopAndBottom/>
            <wp:docPr id="47" name="图片 47" descr="QQ图片2018012610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QQ图片20180126103645"/>
                    <pic:cNvPicPr>
                      <a:picLocks noChangeAspect="1"/>
                    </pic:cNvPicPr>
                  </pic:nvPicPr>
                  <pic:blipFill>
                    <a:blip r:embed="rId50"/>
                    <a:stretch>
                      <a:fillRect/>
                    </a:stretch>
                  </pic:blipFill>
                  <pic:spPr>
                    <a:xfrm rot="5400000">
                      <a:off x="0" y="0"/>
                      <a:ext cx="7840345" cy="4711700"/>
                    </a:xfrm>
                    <a:prstGeom prst="rect">
                      <a:avLst/>
                    </a:prstGeom>
                  </pic:spPr>
                </pic:pic>
              </a:graphicData>
            </a:graphic>
          </wp:anchor>
        </w:drawing>
      </w:r>
    </w:p>
    <w:p>
      <w:pPr>
        <w:spacing w:line="360" w:lineRule="auto"/>
        <w:jc w:val="center"/>
        <w:rPr>
          <w:rFonts w:ascii="宋体" w:hAnsi="宋体" w:eastAsia="宋体" w:cs="宋体"/>
          <w:b/>
          <w:bCs/>
          <w:sz w:val="28"/>
          <w:szCs w:val="28"/>
        </w:rPr>
      </w:pPr>
    </w:p>
    <w:p>
      <w:pPr>
        <w:spacing w:line="360" w:lineRule="auto"/>
        <w:jc w:val="center"/>
        <w:rPr>
          <w:rFonts w:ascii="宋体" w:hAnsi="宋体" w:eastAsia="宋体" w:cs="宋体"/>
          <w:b/>
          <w:bCs/>
          <w:sz w:val="28"/>
          <w:szCs w:val="28"/>
        </w:rPr>
      </w:pPr>
    </w:p>
    <w:p>
      <w:pPr>
        <w:spacing w:line="360" w:lineRule="auto"/>
        <w:jc w:val="center"/>
        <w:rPr>
          <w:rFonts w:ascii="宋体" w:hAnsi="宋体" w:eastAsia="宋体" w:cs="宋体"/>
          <w:b/>
          <w:bCs/>
          <w:sz w:val="28"/>
          <w:szCs w:val="28"/>
        </w:rPr>
      </w:pPr>
    </w:p>
    <w:p>
      <w:pPr>
        <w:spacing w:line="360" w:lineRule="auto"/>
        <w:jc w:val="center"/>
        <w:rPr>
          <w:rFonts w:ascii="宋体" w:hAnsi="宋体" w:eastAsia="宋体" w:cs="宋体"/>
          <w:b/>
          <w:bCs/>
          <w:sz w:val="28"/>
          <w:szCs w:val="28"/>
        </w:rPr>
      </w:pPr>
      <w:r>
        <w:pict>
          <v:shape id="_x0000_s1028" o:spid="_x0000_s1028" o:spt="62" type="#_x0000_t62" style="position:absolute;left:0pt;margin-left:226.5pt;margin-top:174.15pt;height:33.25pt;width:65.85pt;z-index:251670528;v-text-anchor:middle;mso-width-relative:page;mso-height-relative:page;" fillcolor="#D0CECE" filled="t" stroked="t" coordsize="21600,21600" o:gfxdata="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ERjP5Hb&#10;AAAACwEAAA8AAAAAAAAAAQAgAAAAIgAAAGRycy9kb3ducmV2LnhtbFBLAQIUABQAAAAIAIdO4kBj&#10;UdcAjwIAAPEEAAAOAAAAAAAAAAEAIAAAACoBAABkcnMvZTJvRG9jLnhtbFBLBQYAAAAABgAGAFkB&#10;AAArBgAAAAA=&#10;" adj="6300,24300,14400">
            <v:path/>
            <v:fill on="t" focussize="0,0"/>
            <v:stroke weight="1pt" color="#000000 [3200]" joinstyle="miter"/>
            <v:imagedata o:title=""/>
            <o:lock v:ext="edit"/>
            <v:textbox>
              <w:txbxContent>
                <w:p>
                  <w:pPr>
                    <w:spacing w:line="240" w:lineRule="exact"/>
                    <w:jc w:val="center"/>
                  </w:pPr>
                  <w:r>
                    <w:rPr>
                      <w:rFonts w:hint="eastAsia"/>
                    </w:rPr>
                    <w:t>本项目建设地点</w:t>
                  </w:r>
                </w:p>
              </w:txbxContent>
            </v:textbox>
          </v:shape>
        </w:pict>
      </w:r>
    </w:p>
    <w:p>
      <w:pPr>
        <w:spacing w:line="360" w:lineRule="auto"/>
        <w:jc w:val="center"/>
        <w:rPr>
          <w:rFonts w:ascii="宋体" w:hAnsi="宋体" w:eastAsia="宋体" w:cs="宋体"/>
          <w:b/>
          <w:bCs/>
          <w:sz w:val="28"/>
          <w:szCs w:val="28"/>
        </w:rPr>
      </w:pPr>
    </w:p>
    <w:p>
      <w:pPr>
        <w:spacing w:line="360" w:lineRule="auto"/>
        <w:jc w:val="center"/>
        <w:rPr>
          <w:rFonts w:ascii="宋体" w:hAnsi="宋体" w:eastAsia="宋体" w:cs="宋体"/>
          <w:b/>
          <w:bCs/>
          <w:sz w:val="28"/>
          <w:szCs w:val="28"/>
        </w:rPr>
      </w:pPr>
    </w:p>
    <w:p>
      <w:pPr>
        <w:spacing w:line="360" w:lineRule="auto"/>
        <w:jc w:val="center"/>
        <w:rPr>
          <w:rFonts w:ascii="宋体" w:hAnsi="宋体" w:eastAsia="宋体" w:cs="宋体"/>
          <w:b/>
          <w:bCs/>
          <w:sz w:val="28"/>
          <w:szCs w:val="28"/>
        </w:rPr>
      </w:pPr>
    </w:p>
    <w:p>
      <w:pPr>
        <w:widowControl/>
        <w:ind w:firstLine="2741" w:firstLineChars="1300"/>
        <w:jc w:val="both"/>
        <w:rPr>
          <w:rFonts w:ascii="宋体" w:hAnsi="宋体" w:eastAsia="宋体" w:cs="宋体"/>
          <w:b/>
          <w:bCs/>
        </w:rPr>
      </w:pPr>
      <w:r>
        <w:rPr>
          <w:rFonts w:hint="eastAsia" w:ascii="宋体" w:hAnsi="宋体" w:eastAsia="宋体" w:cs="宋体"/>
          <w:b/>
          <w:bCs/>
        </w:rPr>
        <w:t>图11.1  本项目在水源地的位置图</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b/>
          <w:bCs/>
          <w:sz w:val="28"/>
        </w:rPr>
      </w:pPr>
      <w:bookmarkStart w:id="45" w:name="_Toc562"/>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b/>
          <w:bCs/>
          <w:sz w:val="28"/>
        </w:rPr>
      </w:pPr>
    </w:p>
    <w:p>
      <w:pPr>
        <w:jc w:val="left"/>
        <w:outlineLvl w:val="1"/>
        <w:rPr>
          <w:rFonts w:ascii="宋体" w:hAnsi="宋体" w:eastAsia="宋体"/>
          <w:b/>
          <w:bCs/>
          <w:sz w:val="28"/>
        </w:rPr>
      </w:pPr>
      <w:r>
        <w:rPr>
          <w:rFonts w:hint="eastAsia" w:ascii="宋体" w:hAnsi="宋体" w:eastAsia="宋体"/>
          <w:b/>
          <w:bCs/>
          <w:sz w:val="28"/>
        </w:rPr>
        <w:t>11.3环境保护机构设置和环境管理规章制度及落实情况</w:t>
      </w:r>
      <w:bookmarkEnd w:id="45"/>
    </w:p>
    <w:p>
      <w:pPr>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内蒙古大青山太伟运动休闲度假村开发有限公司建立了环境管理体系。环境管理工作实行公司主要负责人负责制，明确了工作内容、责任，由主要负责人监督公司环保管理规章制度落实情况。本项目配备专职环保管理人员5 人，建立了完善的管理制度及操作规范。</w:t>
      </w: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rPr>
          <w:rFonts w:ascii="宋体" w:hAnsi="宋体" w:eastAsia="宋体" w:cs="宋体"/>
          <w:b/>
          <w:bCs/>
          <w:sz w:val="30"/>
          <w:szCs w:val="30"/>
        </w:rPr>
      </w:pPr>
    </w:p>
    <w:p>
      <w:pPr>
        <w:spacing w:line="360" w:lineRule="auto"/>
        <w:outlineLvl w:val="0"/>
        <w:rPr>
          <w:rFonts w:ascii="宋体" w:hAnsi="宋体" w:eastAsia="宋体" w:cs="宋体"/>
          <w:b/>
          <w:bCs/>
          <w:sz w:val="28"/>
          <w:szCs w:val="28"/>
        </w:rPr>
      </w:pPr>
      <w:bookmarkStart w:id="46" w:name="_Toc1520"/>
      <w:r>
        <w:rPr>
          <w:rFonts w:hint="eastAsia" w:ascii="宋体" w:hAnsi="宋体" w:eastAsia="宋体" w:cs="宋体"/>
          <w:b/>
          <w:bCs/>
          <w:sz w:val="28"/>
          <w:szCs w:val="28"/>
        </w:rPr>
        <w:t>12验收调查结论与建议</w:t>
      </w:r>
      <w:bookmarkEnd w:id="46"/>
    </w:p>
    <w:p>
      <w:pPr>
        <w:spacing w:line="360" w:lineRule="auto"/>
        <w:outlineLvl w:val="1"/>
        <w:rPr>
          <w:rFonts w:ascii="宋体" w:hAnsi="宋体" w:eastAsia="宋体" w:cs="宋体"/>
          <w:b/>
          <w:bCs/>
          <w:sz w:val="28"/>
          <w:szCs w:val="28"/>
        </w:rPr>
      </w:pPr>
      <w:bookmarkStart w:id="47" w:name="_Toc5803"/>
      <w:r>
        <w:rPr>
          <w:rFonts w:hint="eastAsia" w:ascii="宋体" w:hAnsi="宋体" w:eastAsia="宋体" w:cs="宋体"/>
          <w:b/>
          <w:bCs/>
          <w:sz w:val="28"/>
          <w:szCs w:val="28"/>
        </w:rPr>
        <w:t>12.1结论</w:t>
      </w:r>
      <w:bookmarkEnd w:id="47"/>
    </w:p>
    <w:p>
      <w:pPr>
        <w:spacing w:line="360" w:lineRule="auto"/>
        <w:jc w:val="left"/>
        <w:outlineLvl w:val="2"/>
        <w:rPr>
          <w:rFonts w:ascii="宋体" w:hAnsi="宋体" w:eastAsia="宋体" w:cs="宋体"/>
          <w:b/>
          <w:bCs/>
          <w:sz w:val="28"/>
          <w:szCs w:val="28"/>
        </w:rPr>
      </w:pPr>
      <w:bookmarkStart w:id="48" w:name="_Toc16071"/>
      <w:r>
        <w:rPr>
          <w:rFonts w:hint="eastAsia" w:ascii="宋体" w:hAnsi="宋体" w:eastAsia="宋体" w:cs="宋体"/>
          <w:b/>
          <w:bCs/>
          <w:sz w:val="28"/>
          <w:szCs w:val="28"/>
        </w:rPr>
        <w:t>12.1.1工程建设情况</w:t>
      </w:r>
      <w:bookmarkEnd w:id="48"/>
    </w:p>
    <w:p>
      <w:pPr>
        <w:pStyle w:val="3"/>
        <w:spacing w:line="360" w:lineRule="auto"/>
        <w:ind w:firstLine="560"/>
        <w:rPr>
          <w:rFonts w:ascii="宋体" w:hAnsi="宋体" w:eastAsia="宋体" w:cs="宋体"/>
          <w:color w:val="000000" w:themeColor="text1"/>
          <w:sz w:val="28"/>
          <w:szCs w:val="28"/>
        </w:rPr>
      </w:pPr>
      <w:r>
        <w:rPr>
          <w:rFonts w:hint="eastAsia" w:ascii="宋体" w:hAnsi="宋体" w:eastAsia="宋体" w:cs="宋体"/>
          <w:color w:val="000000"/>
          <w:sz w:val="28"/>
          <w:szCs w:val="28"/>
        </w:rPr>
        <w:t>本项目的主要建设内容包括会所、产权式酒店、高尔夫球场、</w:t>
      </w:r>
      <w:r>
        <w:rPr>
          <w:rFonts w:hint="eastAsia" w:ascii="宋体" w:hAnsi="宋体" w:eastAsia="宋体" w:cs="宋体"/>
          <w:color w:val="000000" w:themeColor="text1"/>
          <w:sz w:val="28"/>
          <w:szCs w:val="28"/>
        </w:rPr>
        <w:t>游泳馆、滑雪场、人工湖及附属配套设施，会所及高尔夫球场等工程建设内容已于2008年4月30日经呼和浩特市新城区环境保护局同意通过验收。本次验收范围为2008年验收时未建成的39栋产权式酒店一期工程及3台燃气锅炉。</w:t>
      </w:r>
    </w:p>
    <w:p>
      <w:pPr>
        <w:pStyle w:val="3"/>
        <w:spacing w:line="360" w:lineRule="auto"/>
        <w:ind w:firstLine="56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产权式酒店建筑面积23358.79m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，占地面积57125.4m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。配套建设化粪池6座，将原有2台燃煤锅炉更换为3台燃气锅炉。</w:t>
      </w:r>
    </w:p>
    <w:p>
      <w:pPr>
        <w:spacing w:line="360" w:lineRule="auto"/>
        <w:jc w:val="left"/>
        <w:outlineLvl w:val="2"/>
        <w:rPr>
          <w:rFonts w:ascii="宋体" w:hAnsi="宋体" w:eastAsia="宋体" w:cs="宋体"/>
          <w:b/>
          <w:bCs/>
          <w:sz w:val="28"/>
          <w:szCs w:val="28"/>
        </w:rPr>
      </w:pPr>
      <w:bookmarkStart w:id="49" w:name="_Toc27896"/>
      <w:r>
        <w:rPr>
          <w:rFonts w:hint="eastAsia" w:ascii="宋体" w:hAnsi="宋体" w:eastAsia="宋体" w:cs="宋体"/>
          <w:b/>
          <w:bCs/>
          <w:sz w:val="28"/>
          <w:szCs w:val="28"/>
        </w:rPr>
        <w:t>12.1.2生态环境影响调查</w:t>
      </w:r>
      <w:bookmarkEnd w:id="49"/>
    </w:p>
    <w:p>
      <w:pPr>
        <w:spacing w:line="360" w:lineRule="auto"/>
        <w:ind w:firstLine="562"/>
        <w:rPr>
          <w:rFonts w:ascii="宋体" w:hAnsi="宋体" w:eastAsia="宋体" w:cs="宋体"/>
          <w:color w:val="000000" w:themeColor="text1"/>
          <w:sz w:val="28"/>
          <w:szCs w:val="28"/>
        </w:rPr>
      </w:pPr>
      <w:r>
        <w:rPr>
          <w:rFonts w:hint="eastAsia" w:ascii="宋体" w:hAnsi="宋体" w:eastAsia="宋体" w:cs="宋体"/>
          <w:sz w:val="28"/>
          <w:szCs w:val="28"/>
        </w:rPr>
        <w:t>本项目占地类型为建设用地和未利用土地。</w:t>
      </w:r>
      <w:r>
        <w:rPr>
          <w:rFonts w:hint="eastAsia" w:ascii="宋体" w:hAnsi="宋体" w:eastAsia="宋体" w:cs="宋体"/>
          <w:color w:val="000000"/>
          <w:sz w:val="28"/>
          <w:szCs w:val="28"/>
        </w:rPr>
        <w:t>产权式酒店</w:t>
      </w:r>
      <w:r>
        <w:rPr>
          <w:rFonts w:hint="eastAsia" w:ascii="宋体" w:hAnsi="宋体" w:eastAsia="宋体" w:cs="宋体"/>
          <w:sz w:val="28"/>
          <w:szCs w:val="28"/>
        </w:rPr>
        <w:t>实际占地面积</w:t>
      </w:r>
      <w:r>
        <w:rPr>
          <w:rFonts w:hint="eastAsia" w:ascii="宋体" w:hAnsi="宋体" w:eastAsia="宋体" w:cs="宋体"/>
          <w:color w:val="000000" w:themeColor="text1"/>
          <w:sz w:val="28"/>
          <w:szCs w:val="28"/>
        </w:rPr>
        <w:t>57125.4m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。其中建设用地13628m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，其余为未利用地。</w:t>
      </w:r>
    </w:p>
    <w:p>
      <w:pPr>
        <w:pStyle w:val="3"/>
        <w:spacing w:line="360" w:lineRule="auto"/>
        <w:ind w:firstLine="56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建设单位对</w:t>
      </w:r>
      <w:r>
        <w:rPr>
          <w:rFonts w:hint="eastAsia" w:ascii="宋体" w:hAnsi="宋体" w:eastAsia="宋体" w:cs="宋体"/>
          <w:color w:val="000000"/>
          <w:sz w:val="28"/>
          <w:szCs w:val="28"/>
        </w:rPr>
        <w:t>产权式酒店</w:t>
      </w:r>
      <w:r>
        <w:rPr>
          <w:rFonts w:hint="eastAsia" w:ascii="宋体" w:hAnsi="宋体" w:eastAsia="宋体" w:cs="宋体"/>
          <w:color w:val="000000" w:themeColor="text1"/>
          <w:sz w:val="28"/>
          <w:szCs w:val="28"/>
        </w:rPr>
        <w:t>进行绿化与景观设计，该项目绿化面积共计33140m</w:t>
      </w:r>
      <w:r>
        <w:rPr>
          <w:rFonts w:hint="eastAsia" w:ascii="宋体" w:hAnsi="宋体" w:eastAsia="宋体" w:cs="宋体"/>
          <w:color w:val="000000" w:themeColor="text1"/>
          <w:sz w:val="28"/>
          <w:szCs w:val="28"/>
          <w:vertAlign w:val="superscript"/>
        </w:rPr>
        <w:t>2</w:t>
      </w:r>
      <w:r>
        <w:rPr>
          <w:rFonts w:hint="eastAsia" w:ascii="宋体" w:hAnsi="宋体" w:eastAsia="宋体" w:cs="宋体"/>
          <w:color w:val="000000" w:themeColor="text1"/>
          <w:sz w:val="28"/>
          <w:szCs w:val="28"/>
        </w:rPr>
        <w:t>，绿化率达到58%。绿化的植被种类包括国槐、白蜡、垂柳、丛生蒙古栎、报马子、龙爪槐、山杏、苹果、山楂、北美海棠、西府海棠、榆叶梅、紫叶矮樱、金银木、玫瑰、金叶榆、丁香、水蜡、珍珠梅、马蔺、侧柏、樟子松、桧柏、云杉、紫叶李、金山绣线菊、卫矛、大花萱草等40多种。</w:t>
      </w:r>
    </w:p>
    <w:p>
      <w:pPr>
        <w:spacing w:line="360" w:lineRule="auto"/>
        <w:jc w:val="left"/>
        <w:outlineLvl w:val="2"/>
        <w:rPr>
          <w:rFonts w:ascii="宋体" w:hAnsi="宋体" w:eastAsia="宋体" w:cs="宋体"/>
          <w:b/>
          <w:bCs/>
          <w:sz w:val="28"/>
          <w:szCs w:val="28"/>
        </w:rPr>
      </w:pPr>
      <w:bookmarkStart w:id="50" w:name="_Toc3720"/>
      <w:r>
        <w:rPr>
          <w:rFonts w:hint="eastAsia" w:ascii="宋体" w:hAnsi="宋体" w:eastAsia="宋体" w:cs="宋体"/>
          <w:b/>
          <w:bCs/>
          <w:sz w:val="28"/>
          <w:szCs w:val="28"/>
        </w:rPr>
        <w:t>12.1.3大气环境影响调查</w:t>
      </w:r>
      <w:bookmarkEnd w:id="50"/>
    </w:p>
    <w:p>
      <w:pPr>
        <w:spacing w:line="360" w:lineRule="auto"/>
        <w:ind w:firstLine="560"/>
        <w:rPr>
          <w:rFonts w:ascii="宋体" w:hAnsi="宋体" w:eastAsia="宋体" w:cs="宋体"/>
          <w:sz w:val="28"/>
          <w:szCs w:val="28"/>
        </w:rPr>
      </w:pPr>
      <w:r>
        <w:rPr>
          <w:rFonts w:hint="eastAsia" w:ascii="宋体" w:hAnsi="宋体"/>
          <w:sz w:val="28"/>
        </w:rPr>
        <w:t>项目运营期污染物主要为燃气锅炉烟气。项目采暖采用自建锅炉房，</w:t>
      </w:r>
      <w:r>
        <w:rPr>
          <w:rFonts w:hint="eastAsia" w:ascii="宋体" w:hAnsi="宋体" w:eastAsia="宋体" w:cs="宋体"/>
          <w:sz w:val="28"/>
        </w:rPr>
        <w:t>由</w:t>
      </w:r>
      <w:r>
        <w:rPr>
          <w:rFonts w:hint="eastAsia" w:ascii="宋体" w:hAnsi="宋体" w:eastAsia="宋体" w:cs="宋体"/>
          <w:sz w:val="28"/>
          <w:szCs w:val="28"/>
        </w:rPr>
        <w:t>2台1t/h、1台0.5t/h燃气热水锅炉组成。锅炉烟气通过8m高排气筒排放。</w:t>
      </w:r>
    </w:p>
    <w:p>
      <w:pPr>
        <w:spacing w:line="360" w:lineRule="auto"/>
        <w:ind w:firstLine="560"/>
        <w:rPr>
          <w:rFonts w:ascii="宋体" w:hAnsi="宋体" w:eastAsia="宋体" w:cs="宋体"/>
          <w:sz w:val="28"/>
          <w:szCs w:val="28"/>
        </w:rPr>
      </w:pPr>
      <w:r>
        <w:rPr>
          <w:rFonts w:hint="eastAsia" w:ascii="宋体" w:hAnsi="宋体"/>
          <w:color w:val="000000" w:themeColor="text1"/>
          <w:sz w:val="28"/>
        </w:rPr>
        <w:t>正常工况下，</w:t>
      </w:r>
      <w:r>
        <w:rPr>
          <w:rFonts w:hint="eastAsia" w:ascii="宋体" w:hAnsi="宋体" w:eastAsia="宋体" w:cs="宋体"/>
          <w:color w:val="000000" w:themeColor="text1"/>
          <w:sz w:val="28"/>
        </w:rPr>
        <w:t>各污染物浓度限值均</w:t>
      </w:r>
      <w:r>
        <w:rPr>
          <w:rFonts w:hint="eastAsia" w:ascii="宋体" w:hAnsi="宋体" w:eastAsia="宋体" w:cs="宋体"/>
          <w:color w:val="000000" w:themeColor="text1"/>
          <w:sz w:val="28"/>
          <w:szCs w:val="28"/>
        </w:rPr>
        <w:t>满足《锅炉大气污染物综合排放标准》（GB13271-2014）</w:t>
      </w:r>
      <w:r>
        <w:rPr>
          <w:rFonts w:hint="eastAsia" w:ascii="宋体" w:hAnsi="宋体" w:eastAsia="宋体" w:cs="宋体"/>
          <w:sz w:val="28"/>
          <w:szCs w:val="28"/>
        </w:rPr>
        <w:t>表2 浓度限值要求。</w:t>
      </w:r>
    </w:p>
    <w:p>
      <w:pPr>
        <w:spacing w:line="360" w:lineRule="auto"/>
        <w:jc w:val="left"/>
        <w:outlineLvl w:val="2"/>
        <w:rPr>
          <w:rFonts w:ascii="宋体" w:hAnsi="宋体" w:eastAsia="宋体" w:cs="宋体"/>
          <w:b/>
          <w:bCs/>
          <w:sz w:val="28"/>
          <w:szCs w:val="28"/>
        </w:rPr>
      </w:pPr>
      <w:bookmarkStart w:id="51" w:name="_Toc1631"/>
      <w:r>
        <w:rPr>
          <w:rFonts w:hint="eastAsia" w:ascii="宋体" w:hAnsi="宋体" w:eastAsia="宋体" w:cs="宋体"/>
          <w:b/>
          <w:bCs/>
          <w:sz w:val="28"/>
          <w:szCs w:val="28"/>
        </w:rPr>
        <w:t>12.1.4水环境影响调查</w:t>
      </w:r>
      <w:bookmarkEnd w:id="51"/>
    </w:p>
    <w:p>
      <w:pPr>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sz w:val="28"/>
          <w:szCs w:val="28"/>
        </w:rPr>
        <w:t>本项目生活污水委托</w:t>
      </w:r>
      <w:r>
        <w:rPr>
          <w:rFonts w:hint="eastAsia" w:ascii="宋体" w:hAnsi="宋体" w:eastAsia="宋体" w:cs="宋体"/>
          <w:color w:val="000000" w:themeColor="text1"/>
          <w:sz w:val="28"/>
          <w:szCs w:val="28"/>
        </w:rPr>
        <w:t>呼和浩特市大禹排水综合服务有限公司清运至金桥污水处理厂进行处理，故不对本次监测结果进行评价。</w:t>
      </w:r>
    </w:p>
    <w:p>
      <w:pPr>
        <w:spacing w:line="360" w:lineRule="auto"/>
        <w:jc w:val="left"/>
        <w:outlineLvl w:val="2"/>
        <w:rPr>
          <w:rFonts w:ascii="宋体" w:hAnsi="宋体" w:eastAsia="宋体" w:cs="宋体"/>
          <w:b/>
          <w:bCs/>
          <w:sz w:val="28"/>
          <w:szCs w:val="28"/>
        </w:rPr>
      </w:pPr>
      <w:bookmarkStart w:id="52" w:name="_Toc9848"/>
      <w:r>
        <w:rPr>
          <w:rFonts w:hint="eastAsia" w:ascii="宋体" w:hAnsi="宋体" w:eastAsia="宋体" w:cs="宋体"/>
          <w:b/>
          <w:bCs/>
          <w:sz w:val="28"/>
          <w:szCs w:val="28"/>
        </w:rPr>
        <w:t>12.1.5声环境影响调查</w:t>
      </w:r>
      <w:bookmarkEnd w:id="52"/>
    </w:p>
    <w:p>
      <w:pPr>
        <w:spacing w:line="360" w:lineRule="auto"/>
        <w:ind w:firstLine="560" w:firstLineChars="200"/>
        <w:jc w:val="left"/>
        <w:rPr>
          <w:rFonts w:ascii="宋体" w:hAnsi="宋体" w:eastAsia="宋体" w:cs="宋体"/>
          <w:color w:val="000000" w:themeColor="text1"/>
          <w:sz w:val="28"/>
        </w:rPr>
      </w:pPr>
      <w:r>
        <w:rPr>
          <w:rFonts w:hint="eastAsia" w:ascii="宋体" w:hAnsi="宋体" w:eastAsia="宋体" w:cs="宋体"/>
          <w:color w:val="000000" w:themeColor="text1"/>
          <w:sz w:val="28"/>
        </w:rPr>
        <w:t>在2座锅炉房共设8个厂界噪声监测点（ZS01～ZS08），</w:t>
      </w:r>
      <w:r>
        <w:rPr>
          <w:rFonts w:hint="eastAsia" w:ascii="宋体" w:hAnsi="宋体" w:eastAsia="宋体" w:cs="宋体"/>
          <w:color w:val="000000"/>
          <w:sz w:val="28"/>
          <w:szCs w:val="28"/>
        </w:rPr>
        <w:t>产权式酒店</w:t>
      </w:r>
      <w:r>
        <w:rPr>
          <w:rFonts w:hint="eastAsia" w:ascii="宋体" w:hAnsi="宋体" w:eastAsia="宋体" w:cs="宋体"/>
          <w:color w:val="000000" w:themeColor="text1"/>
          <w:sz w:val="28"/>
          <w:szCs w:val="28"/>
        </w:rPr>
        <w:t>设置2处噪声监测点</w:t>
      </w:r>
      <w:r>
        <w:rPr>
          <w:rFonts w:hint="eastAsia" w:ascii="宋体" w:hAnsi="宋体" w:eastAsia="宋体" w:cs="宋体"/>
          <w:color w:val="000000" w:themeColor="text1"/>
          <w:sz w:val="28"/>
        </w:rPr>
        <w:t>（ZS09～ZS10）。</w:t>
      </w:r>
    </w:p>
    <w:p>
      <w:pPr>
        <w:spacing w:line="360" w:lineRule="auto"/>
        <w:ind w:firstLine="560" w:firstLineChars="200"/>
        <w:jc w:val="left"/>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验收监测期间， 锅炉房厂界噪声测点昼间最大监测值52.4 dB（A），夜间最大监测值43.7 dB（A），</w:t>
      </w:r>
      <w:r>
        <w:rPr>
          <w:rFonts w:hint="eastAsia" w:ascii="宋体" w:hAnsi="宋体" w:eastAsia="宋体" w:cs="宋体"/>
          <w:color w:val="000000"/>
          <w:sz w:val="28"/>
          <w:szCs w:val="28"/>
        </w:rPr>
        <w:t>产权式酒店</w:t>
      </w:r>
      <w:r>
        <w:rPr>
          <w:rFonts w:hint="eastAsia" w:ascii="宋体" w:hAnsi="宋体" w:eastAsia="宋体" w:cs="宋体"/>
          <w:color w:val="000000" w:themeColor="text1"/>
          <w:sz w:val="28"/>
          <w:szCs w:val="28"/>
        </w:rPr>
        <w:t>昼间最大噪声监测值51.3 dB（A），夜间最大监测值47.6 dB（A），均满足《工业企业厂界环境噪声排放标准》（GB12348-2008）2 类标准限值。</w:t>
      </w:r>
    </w:p>
    <w:p>
      <w:pPr>
        <w:spacing w:line="360" w:lineRule="auto"/>
        <w:jc w:val="left"/>
        <w:outlineLvl w:val="2"/>
        <w:rPr>
          <w:rFonts w:ascii="宋体" w:hAnsi="宋体" w:eastAsia="宋体" w:cs="宋体"/>
          <w:b/>
          <w:bCs/>
          <w:sz w:val="28"/>
          <w:szCs w:val="28"/>
        </w:rPr>
      </w:pPr>
      <w:bookmarkStart w:id="53" w:name="_Toc6078"/>
      <w:r>
        <w:rPr>
          <w:rFonts w:hint="eastAsia" w:ascii="宋体" w:hAnsi="宋体" w:eastAsia="宋体" w:cs="宋体"/>
          <w:b/>
          <w:bCs/>
          <w:sz w:val="28"/>
          <w:szCs w:val="28"/>
        </w:rPr>
        <w:t>12.1.6固体废弃物影响调查</w:t>
      </w:r>
      <w:bookmarkEnd w:id="53"/>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施工期废弃的建筑材料</w:t>
      </w:r>
      <w:r>
        <w:rPr>
          <w:rFonts w:hint="eastAsia" w:ascii="宋体" w:hAnsi="宋体" w:eastAsia="宋体" w:cs="宋体"/>
          <w:color w:val="000000" w:themeColor="text1"/>
          <w:sz w:val="28"/>
          <w:szCs w:val="28"/>
        </w:rPr>
        <w:t>及施工人员的生活垃圾，分类收集，集中堆放，统一收集后运至相关部门指定地点进行处理。</w:t>
      </w:r>
    </w:p>
    <w:p>
      <w:pPr>
        <w:spacing w:line="360" w:lineRule="auto"/>
        <w:ind w:firstLine="560" w:firstLineChars="200"/>
        <w:rPr>
          <w:rFonts w:ascii="宋体" w:hAnsi="宋体" w:eastAsia="宋体" w:cs="宋体"/>
          <w:sz w:val="28"/>
          <w:szCs w:val="28"/>
        </w:rPr>
      </w:pPr>
      <w:r>
        <w:rPr>
          <w:rFonts w:hint="eastAsia" w:ascii="宋体" w:hAnsi="宋体" w:eastAsia="宋体" w:cs="宋体"/>
          <w:color w:val="000000"/>
          <w:sz w:val="28"/>
          <w:szCs w:val="28"/>
          <w:lang w:val="zh-CN"/>
        </w:rPr>
        <w:t>运行期间产生的固体废物为生活垃圾</w:t>
      </w:r>
      <w:r>
        <w:rPr>
          <w:rFonts w:hint="eastAsia" w:ascii="宋体" w:hAnsi="宋体" w:eastAsia="宋体" w:cs="宋体"/>
          <w:color w:val="000000"/>
          <w:sz w:val="28"/>
          <w:szCs w:val="28"/>
        </w:rPr>
        <w:t>，生活垃圾定期收集后，交由新城区环卫部门统一处置</w:t>
      </w:r>
      <w:r>
        <w:rPr>
          <w:rFonts w:hint="eastAsia" w:ascii="宋体" w:hAnsi="宋体" w:eastAsia="宋体" w:cs="宋体"/>
          <w:color w:val="000000" w:themeColor="text1"/>
          <w:sz w:val="28"/>
          <w:szCs w:val="28"/>
        </w:rPr>
        <w:t>。</w:t>
      </w:r>
    </w:p>
    <w:p>
      <w:pPr>
        <w:jc w:val="left"/>
        <w:outlineLvl w:val="1"/>
        <w:rPr>
          <w:rFonts w:ascii="宋体" w:hAnsi="宋体" w:eastAsia="宋体" w:cs="宋体"/>
          <w:b/>
          <w:bCs/>
          <w:sz w:val="28"/>
          <w:szCs w:val="28"/>
        </w:rPr>
      </w:pPr>
      <w:bookmarkStart w:id="54" w:name="_Toc21992"/>
      <w:r>
        <w:rPr>
          <w:rFonts w:hint="eastAsia" w:ascii="宋体" w:hAnsi="宋体" w:eastAsia="宋体" w:cs="宋体"/>
          <w:b/>
          <w:bCs/>
          <w:sz w:val="28"/>
          <w:szCs w:val="28"/>
        </w:rPr>
        <w:t>12.2建议</w:t>
      </w:r>
      <w:bookmarkEnd w:id="54"/>
    </w:p>
    <w:p>
      <w:pPr>
        <w:ind w:firstLine="560" w:firstLineChars="200"/>
        <w:jc w:val="left"/>
        <w:rPr>
          <w:rFonts w:ascii="宋体" w:hAnsi="宋体" w:eastAsia="宋体" w:cs="宋体"/>
          <w:sz w:val="28"/>
          <w:szCs w:val="28"/>
        </w:rPr>
      </w:pPr>
      <w:r>
        <w:rPr>
          <w:rFonts w:hint="eastAsia" w:ascii="宋体" w:hAnsi="宋体" w:eastAsia="宋体" w:cs="宋体"/>
          <w:sz w:val="28"/>
          <w:szCs w:val="28"/>
        </w:rPr>
        <w:t>（1）加强对化粪池的监管，防止化粪池渗漏造成地下水污染。</w:t>
      </w:r>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（2）规范填写污水拉运台账，规范环境管理制度。</w:t>
      </w:r>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（3）加强人员培训，不断提高环保人员的技术业务水平。</w:t>
      </w:r>
    </w:p>
    <w:p>
      <w:pPr>
        <w:spacing w:line="360" w:lineRule="auto"/>
        <w:ind w:firstLine="560" w:firstLineChars="200"/>
        <w:rPr>
          <w:rFonts w:ascii="宋体" w:hAnsi="宋体" w:eastAsia="宋体" w:cs="宋体"/>
          <w:sz w:val="28"/>
          <w:szCs w:val="28"/>
        </w:rPr>
      </w:pPr>
      <w:r>
        <w:rPr>
          <w:rFonts w:hint="eastAsia" w:ascii="宋体" w:hAnsi="宋体" w:eastAsia="宋体" w:cs="宋体"/>
          <w:sz w:val="28"/>
          <w:szCs w:val="28"/>
        </w:rPr>
        <w:t>（4）规范固体废弃物的收集处置工作，做到日产日清。</w:t>
      </w:r>
    </w:p>
    <w:p>
      <w:pPr>
        <w:spacing w:line="360" w:lineRule="auto"/>
        <w:ind w:firstLine="560" w:firstLineChars="200"/>
        <w:rPr>
          <w:rFonts w:ascii="宋体" w:hAnsi="宋体" w:eastAsia="宋体" w:cs="宋体"/>
          <w:color w:val="000000" w:themeColor="text1"/>
          <w:sz w:val="28"/>
          <w:szCs w:val="28"/>
        </w:rPr>
      </w:pPr>
      <w:r>
        <w:rPr>
          <w:rFonts w:hint="eastAsia" w:ascii="宋体" w:hAnsi="宋体" w:eastAsia="宋体" w:cs="宋体"/>
          <w:color w:val="000000" w:themeColor="text1"/>
          <w:sz w:val="28"/>
          <w:szCs w:val="28"/>
        </w:rPr>
        <w:t>（5）制定污水拉运应急预案，防止拉运车辆在拉运过程中发生事故从而造成污水外溢。</w:t>
      </w:r>
    </w:p>
    <w:p>
      <w:pPr>
        <w:spacing w:line="360" w:lineRule="auto"/>
        <w:ind w:firstLine="560"/>
        <w:rPr>
          <w:rFonts w:hint="eastAsia" w:ascii="宋体" w:hAnsi="宋体" w:eastAsia="宋体" w:cs="宋体"/>
          <w:color w:val="000000"/>
          <w:sz w:val="28"/>
          <w:szCs w:val="28"/>
        </w:rPr>
      </w:pPr>
      <w:r>
        <w:rPr>
          <w:rFonts w:hint="eastAsia" w:ascii="宋体" w:hAnsi="宋体" w:eastAsia="宋体" w:cs="宋体"/>
          <w:color w:val="000000" w:themeColor="text1"/>
          <w:sz w:val="28"/>
          <w:szCs w:val="28"/>
        </w:rPr>
        <w:t>综上所述，</w:t>
      </w:r>
      <w:r>
        <w:rPr>
          <w:rFonts w:hint="eastAsia" w:ascii="宋体" w:hAnsi="宋体" w:eastAsia="宋体" w:cs="宋体"/>
          <w:color w:val="000000"/>
          <w:sz w:val="28"/>
          <w:szCs w:val="28"/>
        </w:rPr>
        <w:t>内蒙古大青山太伟度假村产权式酒店一期工程建设项目在施工及运营期间采取了较为有效的生态保护措施和污染防治措施，对周边环境未产生明显影响，建议通过竣工环境保护验收。</w:t>
      </w: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ind w:firstLine="560"/>
        <w:rPr>
          <w:rFonts w:hint="eastAsia" w:ascii="宋体" w:hAnsi="宋体" w:eastAsia="宋体" w:cs="宋体"/>
          <w:color w:val="000000"/>
          <w:sz w:val="28"/>
          <w:szCs w:val="28"/>
        </w:rPr>
      </w:pPr>
    </w:p>
    <w:p>
      <w:pPr>
        <w:spacing w:line="360" w:lineRule="auto"/>
        <w:outlineLvl w:val="0"/>
        <w:rPr>
          <w:rFonts w:ascii="宋体" w:hAnsi="宋体" w:eastAsia="宋体" w:cs="宋体"/>
          <w:sz w:val="28"/>
          <w:szCs w:val="28"/>
        </w:rPr>
      </w:pPr>
      <w:bookmarkStart w:id="55" w:name="_Toc4459"/>
      <w:r>
        <w:rPr>
          <w:rFonts w:hint="eastAsia" w:ascii="宋体" w:hAnsi="宋体" w:eastAsia="宋体" w:cs="宋体"/>
          <w:sz w:val="28"/>
          <w:szCs w:val="28"/>
        </w:rPr>
        <w:t>附件1 环评批复</w:t>
      </w:r>
      <w:bookmarkEnd w:id="55"/>
    </w:p>
    <w:p>
      <w:pPr>
        <w:spacing w:line="360" w:lineRule="auto"/>
        <w:rPr>
          <w:rFonts w:ascii="宋体" w:hAnsi="宋体" w:eastAsia="宋体" w:cs="宋体"/>
          <w:color w:val="000000"/>
          <w:sz w:val="28"/>
          <w:szCs w:val="28"/>
        </w:rPr>
      </w:pPr>
      <w:r>
        <w:rPr>
          <w:rFonts w:hint="eastAsia" w:ascii="宋体" w:hAnsi="宋体" w:eastAsia="宋体" w:cs="宋体"/>
          <w:color w:val="000000"/>
          <w:sz w:val="28"/>
          <w:szCs w:val="28"/>
        </w:rPr>
        <w:drawing>
          <wp:inline distT="0" distB="0" distL="114300" distR="114300">
            <wp:extent cx="5267325" cy="7023100"/>
            <wp:effectExtent l="0" t="0" r="5715" b="2540"/>
            <wp:docPr id="51" name="图片 51" descr="webwxgetmsg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webwxgetmsgimg"/>
                    <pic:cNvPicPr>
                      <a:picLocks noChangeAspect="1"/>
                    </pic:cNvPicPr>
                  </pic:nvPicPr>
                  <pic:blipFill>
                    <a:blip r:embed="rId51"/>
                    <a:stretch>
                      <a:fillRect/>
                    </a:stretch>
                  </pic:blipFill>
                  <pic:spPr>
                    <a:xfrm>
                      <a:off x="0" y="0"/>
                      <a:ext cx="5267325" cy="7023100"/>
                    </a:xfrm>
                    <a:prstGeom prst="rect">
                      <a:avLst/>
                    </a:prstGeom>
                  </pic:spPr>
                </pic:pic>
              </a:graphicData>
            </a:graphic>
          </wp:inline>
        </w:drawing>
      </w: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p>
    <w:p>
      <w:pPr>
        <w:spacing w:line="360" w:lineRule="auto"/>
        <w:jc w:val="center"/>
        <w:rPr>
          <w:rFonts w:ascii="宋体" w:hAnsi="宋体" w:eastAsia="宋体" w:cs="宋体"/>
          <w:color w:val="000000"/>
          <w:sz w:val="28"/>
          <w:szCs w:val="28"/>
        </w:rPr>
      </w:pPr>
    </w:p>
    <w:p>
      <w:pPr>
        <w:spacing w:line="360" w:lineRule="auto"/>
        <w:jc w:val="center"/>
        <w:rPr>
          <w:rFonts w:ascii="宋体" w:hAnsi="宋体" w:eastAsia="宋体" w:cs="宋体"/>
          <w:color w:val="000000"/>
          <w:sz w:val="28"/>
          <w:szCs w:val="28"/>
        </w:rPr>
      </w:pPr>
      <w:r>
        <w:rPr>
          <w:rFonts w:hint="eastAsia" w:ascii="宋体" w:hAnsi="宋体" w:eastAsia="宋体" w:cs="宋体"/>
          <w:color w:val="000000"/>
          <w:sz w:val="28"/>
          <w:szCs w:val="28"/>
        </w:rPr>
        <w:drawing>
          <wp:inline distT="0" distB="0" distL="114300" distR="114300">
            <wp:extent cx="5267325" cy="7023100"/>
            <wp:effectExtent l="0" t="0" r="5715" b="2540"/>
            <wp:docPr id="55" name="图片 55" descr="webwxgetmsgim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webwxgetmsgimg (1)"/>
                    <pic:cNvPicPr>
                      <a:picLocks noChangeAspect="1"/>
                    </pic:cNvPicPr>
                  </pic:nvPicPr>
                  <pic:blipFill>
                    <a:blip r:embed="rId52"/>
                    <a:stretch>
                      <a:fillRect/>
                    </a:stretch>
                  </pic:blipFill>
                  <pic:spPr>
                    <a:xfrm>
                      <a:off x="0" y="0"/>
                      <a:ext cx="5267325" cy="7023100"/>
                    </a:xfrm>
                    <a:prstGeom prst="rect">
                      <a:avLst/>
                    </a:prstGeom>
                  </pic:spPr>
                </pic:pic>
              </a:graphicData>
            </a:graphic>
          </wp:inline>
        </w:drawing>
      </w:r>
    </w:p>
    <w:p>
      <w:pPr>
        <w:spacing w:line="360" w:lineRule="auto"/>
        <w:rPr>
          <w:rFonts w:ascii="宋体" w:hAnsi="宋体" w:eastAsia="宋体" w:cs="宋体"/>
          <w:color w:val="000000"/>
          <w:sz w:val="28"/>
          <w:szCs w:val="28"/>
        </w:rPr>
      </w:pPr>
    </w:p>
    <w:p>
      <w:pPr>
        <w:spacing w:line="360" w:lineRule="auto"/>
        <w:rPr>
          <w:rFonts w:ascii="宋体" w:hAnsi="宋体" w:eastAsia="宋体" w:cs="宋体"/>
          <w:sz w:val="28"/>
          <w:szCs w:val="28"/>
        </w:rPr>
      </w:pPr>
    </w:p>
    <w:p>
      <w:pPr>
        <w:spacing w:line="360" w:lineRule="auto"/>
        <w:rPr>
          <w:rFonts w:ascii="宋体" w:hAnsi="宋体" w:eastAsia="宋体" w:cs="宋体"/>
          <w:sz w:val="28"/>
          <w:szCs w:val="28"/>
        </w:rPr>
      </w:pPr>
    </w:p>
    <w:p>
      <w:pPr>
        <w:spacing w:line="360" w:lineRule="auto"/>
        <w:outlineLvl w:val="0"/>
        <w:rPr>
          <w:rFonts w:ascii="宋体" w:hAnsi="宋体" w:eastAsia="宋体" w:cs="宋体"/>
          <w:sz w:val="28"/>
          <w:szCs w:val="28"/>
        </w:rPr>
      </w:pPr>
      <w:bookmarkStart w:id="56" w:name="_Toc14606"/>
      <w:r>
        <w:rPr>
          <w:rFonts w:hint="eastAsia" w:ascii="宋体" w:hAnsi="宋体" w:eastAsia="宋体" w:cs="宋体"/>
          <w:sz w:val="28"/>
          <w:szCs w:val="28"/>
        </w:rPr>
        <w:t>附件2 污水拉运协议</w:t>
      </w:r>
      <w:bookmarkEnd w:id="56"/>
    </w:p>
    <w:p>
      <w:pPr>
        <w:spacing w:line="360" w:lineRule="auto"/>
        <w:jc w:val="center"/>
        <w:rPr>
          <w:rFonts w:ascii="宋体" w:hAnsi="宋体" w:eastAsia="宋体" w:cs="宋体"/>
          <w:sz w:val="28"/>
          <w:szCs w:val="28"/>
        </w:rPr>
      </w:pPr>
      <w:r>
        <w:rPr>
          <w:rFonts w:hint="eastAsia" w:ascii="宋体" w:hAnsi="宋体" w:eastAsia="宋体" w:cs="宋体"/>
          <w:sz w:val="28"/>
          <w:szCs w:val="28"/>
        </w:rPr>
        <w:t>2018年之前的污水拉运协议</w:t>
      </w:r>
    </w:p>
    <w:p>
      <w:pPr>
        <w:spacing w:line="360" w:lineRule="auto"/>
        <w:rPr>
          <w:rFonts w:ascii="宋体" w:hAnsi="宋体" w:eastAsia="宋体" w:cs="宋体"/>
          <w:sz w:val="28"/>
          <w:szCs w:val="28"/>
        </w:rPr>
      </w:pPr>
      <w:r>
        <w:rPr>
          <w:rFonts w:hint="eastAsia" w:ascii="宋体" w:hAnsi="宋体" w:eastAsia="宋体" w:cs="宋体"/>
          <w:sz w:val="28"/>
          <w:szCs w:val="28"/>
        </w:rPr>
        <w:drawing>
          <wp:inline distT="0" distB="0" distL="114300" distR="114300">
            <wp:extent cx="5220335" cy="6960235"/>
            <wp:effectExtent l="0" t="0" r="6985" b="4445"/>
            <wp:docPr id="82" name="图片 82" descr="webwxgetmsgim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webwxgetmsgimg (3)"/>
                    <pic:cNvPicPr>
                      <a:picLocks noChangeAspect="1"/>
                    </pic:cNvPicPr>
                  </pic:nvPicPr>
                  <pic:blipFill>
                    <a:blip r:embed="rId53"/>
                    <a:stretch>
                      <a:fillRect/>
                    </a:stretch>
                  </pic:blipFill>
                  <pic:spPr>
                    <a:xfrm>
                      <a:off x="0" y="0"/>
                      <a:ext cx="5220335" cy="6960235"/>
                    </a:xfrm>
                    <a:prstGeom prst="rect">
                      <a:avLst/>
                    </a:prstGeom>
                  </pic:spPr>
                </pic:pic>
              </a:graphicData>
            </a:graphic>
          </wp:inline>
        </w:drawing>
      </w:r>
    </w:p>
    <w:p>
      <w:pPr>
        <w:spacing w:line="360" w:lineRule="auto"/>
        <w:jc w:val="center"/>
        <w:rPr>
          <w:rFonts w:ascii="宋体" w:hAnsi="宋体" w:eastAsia="宋体" w:cs="宋体"/>
          <w:sz w:val="28"/>
          <w:szCs w:val="28"/>
        </w:rPr>
      </w:pPr>
    </w:p>
    <w:p>
      <w:pPr>
        <w:spacing w:line="360" w:lineRule="auto"/>
        <w:jc w:val="center"/>
        <w:rPr>
          <w:rFonts w:ascii="宋体" w:hAnsi="宋体" w:eastAsia="宋体" w:cs="宋体"/>
          <w:sz w:val="28"/>
          <w:szCs w:val="28"/>
        </w:rPr>
      </w:pPr>
    </w:p>
    <w:p>
      <w:pPr>
        <w:spacing w:line="360" w:lineRule="auto"/>
        <w:rPr>
          <w:rFonts w:ascii="宋体" w:hAnsi="宋体" w:eastAsia="宋体" w:cs="宋体"/>
          <w:sz w:val="28"/>
          <w:szCs w:val="28"/>
        </w:rPr>
      </w:pPr>
      <w:r>
        <w:rPr>
          <w:rFonts w:hint="eastAsia" w:ascii="宋体" w:hAnsi="宋体" w:eastAsia="宋体" w:cs="宋体"/>
          <w:sz w:val="28"/>
          <w:szCs w:val="28"/>
        </w:rPr>
        <w:t>2018年重新签订的污水拉运协议</w:t>
      </w:r>
    </w:p>
    <w:p>
      <w:pPr>
        <w:spacing w:line="360" w:lineRule="auto"/>
        <w:rPr>
          <w:rFonts w:ascii="宋体" w:hAnsi="宋体" w:eastAsia="宋体" w:cs="宋体"/>
          <w:sz w:val="28"/>
          <w:szCs w:val="28"/>
        </w:rPr>
      </w:pPr>
      <w:r>
        <w:rPr>
          <w:rFonts w:hint="eastAsia" w:ascii="宋体" w:hAnsi="宋体" w:eastAsia="宋体" w:cs="宋体"/>
          <w:sz w:val="28"/>
          <w:szCs w:val="28"/>
        </w:rPr>
        <w:drawing>
          <wp:inline distT="0" distB="0" distL="114300" distR="114300">
            <wp:extent cx="5267325" cy="7023100"/>
            <wp:effectExtent l="0" t="0" r="5715" b="2540"/>
            <wp:docPr id="8" name="图片 8" descr="webwxgetmsgim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ebwxgetmsgimg (4)"/>
                    <pic:cNvPicPr>
                      <a:picLocks noChangeAspect="1"/>
                    </pic:cNvPicPr>
                  </pic:nvPicPr>
                  <pic:blipFill>
                    <a:blip r:embed="rId54"/>
                    <a:stretch>
                      <a:fillRect/>
                    </a:stretch>
                  </pic:blipFill>
                  <pic:spPr>
                    <a:xfrm>
                      <a:off x="0" y="0"/>
                      <a:ext cx="5267325" cy="7023100"/>
                    </a:xfrm>
                    <a:prstGeom prst="rect">
                      <a:avLst/>
                    </a:prstGeom>
                  </pic:spPr>
                </pic:pic>
              </a:graphicData>
            </a:graphic>
          </wp:inline>
        </w:drawing>
      </w:r>
    </w:p>
    <w:p>
      <w:pPr>
        <w:spacing w:line="360" w:lineRule="auto"/>
        <w:rPr>
          <w:rFonts w:ascii="宋体" w:hAnsi="宋体" w:eastAsia="宋体" w:cs="宋体"/>
          <w:sz w:val="28"/>
          <w:szCs w:val="28"/>
        </w:rPr>
      </w:pPr>
    </w:p>
    <w:p>
      <w:pPr>
        <w:spacing w:line="360" w:lineRule="auto"/>
        <w:rPr>
          <w:rFonts w:ascii="宋体" w:hAnsi="宋体" w:eastAsia="宋体" w:cs="宋体"/>
          <w:sz w:val="28"/>
          <w:szCs w:val="28"/>
        </w:rPr>
      </w:pPr>
    </w:p>
    <w:p>
      <w:pPr>
        <w:spacing w:line="360" w:lineRule="auto"/>
        <w:rPr>
          <w:rFonts w:ascii="宋体" w:hAnsi="宋体" w:eastAsia="宋体" w:cs="宋体"/>
          <w:sz w:val="28"/>
          <w:szCs w:val="28"/>
        </w:rPr>
      </w:pPr>
      <w:r>
        <w:rPr>
          <w:rFonts w:hint="eastAsia" w:ascii="宋体" w:hAnsi="宋体" w:eastAsia="宋体" w:cs="宋体"/>
          <w:sz w:val="28"/>
          <w:szCs w:val="28"/>
        </w:rPr>
        <w:drawing>
          <wp:inline distT="0" distB="0" distL="114300" distR="114300">
            <wp:extent cx="5267325" cy="7023100"/>
            <wp:effectExtent l="0" t="0" r="5715" b="2540"/>
            <wp:docPr id="9" name="图片 9" descr="webwxgetmsgim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ebwxgetmsgimg (5)"/>
                    <pic:cNvPicPr>
                      <a:picLocks noChangeAspect="1"/>
                    </pic:cNvPicPr>
                  </pic:nvPicPr>
                  <pic:blipFill>
                    <a:blip r:embed="rId55"/>
                    <a:stretch>
                      <a:fillRect/>
                    </a:stretch>
                  </pic:blipFill>
                  <pic:spPr>
                    <a:xfrm>
                      <a:off x="0" y="0"/>
                      <a:ext cx="5267325" cy="7023100"/>
                    </a:xfrm>
                    <a:prstGeom prst="rect">
                      <a:avLst/>
                    </a:prstGeom>
                  </pic:spPr>
                </pic:pic>
              </a:graphicData>
            </a:graphic>
          </wp:inline>
        </w:drawing>
      </w:r>
    </w:p>
    <w:p>
      <w:pPr>
        <w:spacing w:line="360" w:lineRule="auto"/>
        <w:rPr>
          <w:rFonts w:ascii="宋体" w:hAnsi="宋体" w:eastAsia="宋体" w:cs="宋体"/>
          <w:sz w:val="28"/>
          <w:szCs w:val="28"/>
        </w:rPr>
      </w:pPr>
    </w:p>
    <w:p>
      <w:pPr>
        <w:spacing w:line="360" w:lineRule="auto"/>
        <w:rPr>
          <w:rFonts w:ascii="宋体" w:hAnsi="宋体" w:eastAsia="宋体" w:cs="宋体"/>
          <w:sz w:val="28"/>
          <w:szCs w:val="28"/>
        </w:rPr>
      </w:pPr>
    </w:p>
    <w:p>
      <w:pPr>
        <w:spacing w:line="360" w:lineRule="auto"/>
        <w:rPr>
          <w:rFonts w:ascii="宋体" w:hAnsi="宋体" w:eastAsia="宋体" w:cs="宋体"/>
          <w:sz w:val="28"/>
          <w:szCs w:val="28"/>
        </w:rPr>
      </w:pPr>
    </w:p>
    <w:p>
      <w:pPr>
        <w:spacing w:line="360" w:lineRule="auto"/>
        <w:rPr>
          <w:rFonts w:ascii="宋体" w:hAnsi="宋体" w:eastAsia="宋体" w:cs="宋体"/>
          <w:sz w:val="28"/>
          <w:szCs w:val="28"/>
        </w:rPr>
      </w:pPr>
    </w:p>
    <w:p>
      <w:pPr>
        <w:spacing w:line="360" w:lineRule="auto"/>
        <w:outlineLvl w:val="0"/>
        <w:rPr>
          <w:rFonts w:ascii="宋体" w:hAnsi="宋体" w:eastAsia="宋体" w:cs="宋体"/>
          <w:sz w:val="28"/>
          <w:szCs w:val="28"/>
        </w:rPr>
      </w:pPr>
      <w:bookmarkStart w:id="57" w:name="_Toc16145"/>
      <w:r>
        <w:rPr>
          <w:rFonts w:hint="eastAsia" w:ascii="宋体" w:hAnsi="宋体" w:eastAsia="宋体" w:cs="宋体"/>
          <w:sz w:val="28"/>
          <w:szCs w:val="28"/>
        </w:rPr>
        <w:t>附件3 污水处理协议</w:t>
      </w:r>
      <w:bookmarkEnd w:id="57"/>
    </w:p>
    <w:p>
      <w:pPr>
        <w:spacing w:line="360" w:lineRule="auto"/>
      </w:pPr>
      <w:r>
        <w:rPr>
          <w:rFonts w:hint="eastAsia"/>
        </w:rPr>
        <w:drawing>
          <wp:inline distT="0" distB="0" distL="114300" distR="114300">
            <wp:extent cx="5267325" cy="7023100"/>
            <wp:effectExtent l="0" t="0" r="5715" b="2540"/>
            <wp:docPr id="4" name="图片 4" descr="webwxgetmsgim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ebwxgetmsgimg (3)"/>
                    <pic:cNvPicPr>
                      <a:picLocks noChangeAspect="1"/>
                    </pic:cNvPicPr>
                  </pic:nvPicPr>
                  <pic:blipFill>
                    <a:blip r:embed="rId56"/>
                    <a:stretch>
                      <a:fillRect/>
                    </a:stretch>
                  </pic:blipFill>
                  <pic:spPr>
                    <a:xfrm>
                      <a:off x="0" y="0"/>
                      <a:ext cx="5267325" cy="7023100"/>
                    </a:xfrm>
                    <a:prstGeom prst="rect">
                      <a:avLst/>
                    </a:prstGeom>
                  </pic:spPr>
                </pic:pic>
              </a:graphicData>
            </a:graphic>
          </wp:inline>
        </w:drawing>
      </w:r>
    </w:p>
    <w:p>
      <w:pPr>
        <w:spacing w:line="360" w:lineRule="auto"/>
      </w:pPr>
    </w:p>
    <w:p>
      <w:pPr>
        <w:spacing w:line="360" w:lineRule="auto"/>
      </w:pPr>
    </w:p>
    <w:p>
      <w:pPr>
        <w:spacing w:line="360" w:lineRule="auto"/>
      </w:pPr>
    </w:p>
    <w:p>
      <w:pPr>
        <w:spacing w:line="360" w:lineRule="auto"/>
      </w:pPr>
    </w:p>
    <w:p>
      <w:pPr>
        <w:spacing w:line="360" w:lineRule="auto"/>
      </w:pPr>
      <w:r>
        <w:rPr>
          <w:rFonts w:hint="eastAsia"/>
        </w:rPr>
        <w:drawing>
          <wp:inline distT="0" distB="0" distL="114300" distR="114300">
            <wp:extent cx="5267325" cy="7023100"/>
            <wp:effectExtent l="0" t="0" r="5715" b="2540"/>
            <wp:docPr id="5" name="图片 5" descr="webwxgetmsgim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ebwxgetmsgimg (2)"/>
                    <pic:cNvPicPr>
                      <a:picLocks noChangeAspect="1"/>
                    </pic:cNvPicPr>
                  </pic:nvPicPr>
                  <pic:blipFill>
                    <a:blip r:embed="rId57"/>
                    <a:stretch>
                      <a:fillRect/>
                    </a:stretch>
                  </pic:blipFill>
                  <pic:spPr>
                    <a:xfrm>
                      <a:off x="0" y="0"/>
                      <a:ext cx="5267325" cy="7023100"/>
                    </a:xfrm>
                    <a:prstGeom prst="rect">
                      <a:avLst/>
                    </a:prstGeom>
                  </pic:spPr>
                </pic:pic>
              </a:graphicData>
            </a:graphic>
          </wp:inline>
        </w:drawing>
      </w: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r>
        <w:rPr>
          <w:rFonts w:hint="eastAsia"/>
        </w:rPr>
        <w:drawing>
          <wp:inline distT="0" distB="0" distL="114300" distR="114300">
            <wp:extent cx="5267325" cy="7023100"/>
            <wp:effectExtent l="0" t="0" r="5715" b="2540"/>
            <wp:docPr id="6" name="图片 6" descr="webwxgetmsgim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ebwxgetmsgimg (1)"/>
                    <pic:cNvPicPr>
                      <a:picLocks noChangeAspect="1"/>
                    </pic:cNvPicPr>
                  </pic:nvPicPr>
                  <pic:blipFill>
                    <a:blip r:embed="rId58"/>
                    <a:stretch>
                      <a:fillRect/>
                    </a:stretch>
                  </pic:blipFill>
                  <pic:spPr>
                    <a:xfrm>
                      <a:off x="0" y="0"/>
                      <a:ext cx="5267325" cy="7023100"/>
                    </a:xfrm>
                    <a:prstGeom prst="rect">
                      <a:avLst/>
                    </a:prstGeom>
                  </pic:spPr>
                </pic:pic>
              </a:graphicData>
            </a:graphic>
          </wp:inline>
        </w:drawing>
      </w: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outlineLvl w:val="0"/>
        <w:rPr>
          <w:rFonts w:asciiTheme="minorEastAsia" w:hAnsiTheme="minorEastAsia" w:cstheme="minorEastAsia"/>
          <w:sz w:val="28"/>
          <w:szCs w:val="28"/>
        </w:rPr>
      </w:pPr>
      <w:bookmarkStart w:id="58" w:name="_Toc21494"/>
      <w:r>
        <w:rPr>
          <w:rFonts w:hint="eastAsia" w:asciiTheme="minorEastAsia" w:hAnsiTheme="minorEastAsia" w:cstheme="minorEastAsia"/>
          <w:sz w:val="28"/>
          <w:szCs w:val="28"/>
        </w:rPr>
        <w:t>附件4 复合防水卷材检验报告</w:t>
      </w:r>
      <w:bookmarkEnd w:id="58"/>
    </w:p>
    <w:p>
      <w:pPr>
        <w:spacing w:line="360" w:lineRule="auto"/>
        <w:rPr>
          <w:rFonts w:ascii="Times New Roman" w:hAnsi="Times New Roman" w:eastAsia="宋体" w:cs="Times New Roman"/>
          <w:sz w:val="28"/>
          <w:szCs w:val="28"/>
        </w:rPr>
      </w:pPr>
      <w:r>
        <w:rPr>
          <w:rFonts w:hint="eastAsia" w:ascii="Times New Roman" w:hAnsi="Times New Roman" w:eastAsia="宋体" w:cs="Times New Roman"/>
          <w:sz w:val="28"/>
          <w:szCs w:val="28"/>
        </w:rPr>
        <w:drawing>
          <wp:inline distT="0" distB="0" distL="114300" distR="114300">
            <wp:extent cx="5267325" cy="7023100"/>
            <wp:effectExtent l="0" t="0" r="5715" b="2540"/>
            <wp:docPr id="56" name="图片 56" descr="webwxgetmsg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webwxgetmsgimg"/>
                    <pic:cNvPicPr>
                      <a:picLocks noChangeAspect="1"/>
                    </pic:cNvPicPr>
                  </pic:nvPicPr>
                  <pic:blipFill>
                    <a:blip r:embed="rId59"/>
                    <a:stretch>
                      <a:fillRect/>
                    </a:stretch>
                  </pic:blipFill>
                  <pic:spPr>
                    <a:xfrm>
                      <a:off x="0" y="0"/>
                      <a:ext cx="5267325" cy="7023100"/>
                    </a:xfrm>
                    <a:prstGeom prst="rect">
                      <a:avLst/>
                    </a:prstGeom>
                  </pic:spPr>
                </pic:pic>
              </a:graphicData>
            </a:graphic>
          </wp:inline>
        </w:drawing>
      </w: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r>
        <w:rPr>
          <w:rFonts w:hint="eastAsia" w:ascii="宋体" w:hAnsi="宋体" w:eastAsia="宋体" w:cs="宋体"/>
          <w:color w:val="000000"/>
          <w:sz w:val="28"/>
          <w:szCs w:val="28"/>
        </w:rPr>
        <w:drawing>
          <wp:inline distT="0" distB="0" distL="114300" distR="114300">
            <wp:extent cx="5267325" cy="7023100"/>
            <wp:effectExtent l="0" t="0" r="5715" b="2540"/>
            <wp:docPr id="74" name="图片 74" descr="webwxgetmsgim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webwxgetmsgimg (1)"/>
                    <pic:cNvPicPr>
                      <a:picLocks noChangeAspect="1"/>
                    </pic:cNvPicPr>
                  </pic:nvPicPr>
                  <pic:blipFill>
                    <a:blip r:embed="rId60"/>
                    <a:stretch>
                      <a:fillRect/>
                    </a:stretch>
                  </pic:blipFill>
                  <pic:spPr>
                    <a:xfrm>
                      <a:off x="0" y="0"/>
                      <a:ext cx="5267325" cy="7023100"/>
                    </a:xfrm>
                    <a:prstGeom prst="rect">
                      <a:avLst/>
                    </a:prstGeom>
                  </pic:spPr>
                </pic:pic>
              </a:graphicData>
            </a:graphic>
          </wp:inline>
        </w:drawing>
      </w: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r>
        <w:rPr>
          <w:rFonts w:hint="eastAsia" w:ascii="宋体" w:hAnsi="宋体" w:eastAsia="宋体" w:cs="宋体"/>
          <w:color w:val="000000"/>
          <w:sz w:val="28"/>
          <w:szCs w:val="28"/>
        </w:rPr>
        <w:drawing>
          <wp:inline distT="0" distB="0" distL="114300" distR="114300">
            <wp:extent cx="5267325" cy="7023100"/>
            <wp:effectExtent l="0" t="0" r="5715" b="2540"/>
            <wp:docPr id="84" name="图片 84" descr="webwxgetmsgim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webwxgetmsgimg (4)"/>
                    <pic:cNvPicPr>
                      <a:picLocks noChangeAspect="1"/>
                    </pic:cNvPicPr>
                  </pic:nvPicPr>
                  <pic:blipFill>
                    <a:blip r:embed="rId61"/>
                    <a:stretch>
                      <a:fillRect/>
                    </a:stretch>
                  </pic:blipFill>
                  <pic:spPr>
                    <a:xfrm>
                      <a:off x="0" y="0"/>
                      <a:ext cx="5267325" cy="7023100"/>
                    </a:xfrm>
                    <a:prstGeom prst="rect">
                      <a:avLst/>
                    </a:prstGeom>
                  </pic:spPr>
                </pic:pic>
              </a:graphicData>
            </a:graphic>
          </wp:inline>
        </w:drawing>
      </w: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p>
    <w:p>
      <w:pPr>
        <w:spacing w:line="360" w:lineRule="auto"/>
        <w:rPr>
          <w:rFonts w:ascii="宋体" w:hAnsi="宋体" w:eastAsia="宋体" w:cs="宋体"/>
          <w:color w:val="000000"/>
          <w:sz w:val="28"/>
          <w:szCs w:val="28"/>
        </w:rPr>
      </w:pPr>
      <w:r>
        <w:rPr>
          <w:rFonts w:hint="eastAsia" w:ascii="宋体" w:hAnsi="宋体" w:eastAsia="宋体" w:cs="宋体"/>
          <w:color w:val="000000"/>
          <w:sz w:val="28"/>
          <w:szCs w:val="28"/>
        </w:rPr>
        <w:drawing>
          <wp:inline distT="0" distB="0" distL="114300" distR="114300">
            <wp:extent cx="5267325" cy="7023100"/>
            <wp:effectExtent l="0" t="0" r="5715" b="2540"/>
            <wp:docPr id="87" name="图片 87" descr="webwxgetmsgim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webwxgetmsgimg (2)"/>
                    <pic:cNvPicPr>
                      <a:picLocks noChangeAspect="1"/>
                    </pic:cNvPicPr>
                  </pic:nvPicPr>
                  <pic:blipFill>
                    <a:blip r:embed="rId62"/>
                    <a:stretch>
                      <a:fillRect/>
                    </a:stretch>
                  </pic:blipFill>
                  <pic:spPr>
                    <a:xfrm>
                      <a:off x="0" y="0"/>
                      <a:ext cx="5267325" cy="7023100"/>
                    </a:xfrm>
                    <a:prstGeom prst="rect">
                      <a:avLst/>
                    </a:prstGeom>
                  </pic:spPr>
                </pic:pic>
              </a:graphicData>
            </a:graphic>
          </wp:inline>
        </w:drawing>
      </w:r>
    </w:p>
    <w:p>
      <w:pPr>
        <w:spacing w:line="360" w:lineRule="auto"/>
        <w:rPr>
          <w:rFonts w:ascii="宋体" w:hAnsi="宋体" w:eastAsia="宋体" w:cs="宋体"/>
          <w:color w:val="000000"/>
          <w:sz w:val="28"/>
          <w:szCs w:val="28"/>
        </w:rPr>
      </w:pPr>
    </w:p>
    <w:p>
      <w:pPr>
        <w:spacing w:line="360" w:lineRule="auto"/>
      </w:pPr>
    </w:p>
    <w:p>
      <w:pPr>
        <w:spacing w:line="360" w:lineRule="auto"/>
      </w:pPr>
    </w:p>
    <w:p>
      <w:pPr>
        <w:spacing w:line="360" w:lineRule="auto"/>
      </w:pPr>
    </w:p>
    <w:p>
      <w:pPr>
        <w:spacing w:line="360" w:lineRule="auto"/>
        <w:rPr>
          <w:rFonts w:ascii="宋体" w:hAnsi="宋体" w:eastAsia="宋体" w:cs="宋体"/>
          <w:color w:val="000000"/>
          <w:sz w:val="28"/>
          <w:szCs w:val="28"/>
        </w:rPr>
      </w:pPr>
    </w:p>
    <w:p>
      <w:pPr>
        <w:spacing w:line="360" w:lineRule="auto"/>
        <w:outlineLvl w:val="0"/>
        <w:rPr>
          <w:rFonts w:ascii="宋体" w:hAnsi="宋体" w:eastAsia="宋体" w:cs="宋体"/>
          <w:color w:val="000000"/>
          <w:sz w:val="28"/>
          <w:szCs w:val="28"/>
        </w:rPr>
      </w:pPr>
      <w:bookmarkStart w:id="59" w:name="_Toc1903"/>
      <w:r>
        <w:rPr>
          <w:rFonts w:hint="eastAsia" w:ascii="宋体" w:hAnsi="宋体" w:eastAsia="宋体" w:cs="宋体"/>
          <w:color w:val="000000"/>
          <w:sz w:val="28"/>
          <w:szCs w:val="28"/>
        </w:rPr>
        <w:t>附件5 生活垃圾处置协议</w:t>
      </w:r>
      <w:bookmarkEnd w:id="59"/>
    </w:p>
    <w:p>
      <w:pPr>
        <w:spacing w:line="360" w:lineRule="auto"/>
      </w:pPr>
      <w:r>
        <w:rPr>
          <w:rFonts w:hint="eastAsia"/>
        </w:rPr>
        <w:drawing>
          <wp:inline distT="0" distB="0" distL="114300" distR="114300">
            <wp:extent cx="5267325" cy="7023100"/>
            <wp:effectExtent l="0" t="0" r="5715" b="2540"/>
            <wp:docPr id="88" name="图片 88" descr="webwxgetmsgim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webwxgetmsgimg (7)"/>
                    <pic:cNvPicPr>
                      <a:picLocks noChangeAspect="1"/>
                    </pic:cNvPicPr>
                  </pic:nvPicPr>
                  <pic:blipFill>
                    <a:blip r:embed="rId63"/>
                    <a:stretch>
                      <a:fillRect/>
                    </a:stretch>
                  </pic:blipFill>
                  <pic:spPr>
                    <a:xfrm>
                      <a:off x="0" y="0"/>
                      <a:ext cx="5267325" cy="7023100"/>
                    </a:xfrm>
                    <a:prstGeom prst="rect">
                      <a:avLst/>
                    </a:prstGeom>
                  </pic:spPr>
                </pic:pic>
              </a:graphicData>
            </a:graphic>
          </wp:inline>
        </w:drawing>
      </w:r>
    </w:p>
    <w:p>
      <w:pPr>
        <w:spacing w:line="360" w:lineRule="auto"/>
      </w:pPr>
    </w:p>
    <w:p>
      <w:pPr>
        <w:spacing w:line="360" w:lineRule="auto"/>
      </w:pPr>
    </w:p>
    <w:p>
      <w:pPr>
        <w:spacing w:line="360" w:lineRule="auto"/>
      </w:pPr>
    </w:p>
    <w:p>
      <w:pPr>
        <w:spacing w:line="360" w:lineRule="auto"/>
      </w:pPr>
    </w:p>
    <w:p>
      <w:pPr>
        <w:spacing w:line="360" w:lineRule="auto"/>
        <w:outlineLvl w:val="0"/>
        <w:rPr>
          <w:rFonts w:ascii="宋体" w:hAnsi="宋体" w:eastAsia="宋体" w:cs="宋体"/>
          <w:sz w:val="28"/>
          <w:szCs w:val="28"/>
        </w:rPr>
      </w:pPr>
      <w:bookmarkStart w:id="60" w:name="_Toc8634"/>
      <w:r>
        <w:rPr>
          <w:rFonts w:hint="eastAsia" w:ascii="宋体" w:hAnsi="宋体" w:eastAsia="宋体" w:cs="宋体"/>
          <w:sz w:val="28"/>
          <w:szCs w:val="28"/>
        </w:rPr>
        <w:t>附件6 用地批复</w:t>
      </w:r>
      <w:bookmarkEnd w:id="60"/>
    </w:p>
    <w:p>
      <w:pPr>
        <w:spacing w:line="360" w:lineRule="auto"/>
        <w:rPr>
          <w:rFonts w:ascii="宋体" w:hAnsi="宋体" w:eastAsia="宋体" w:cs="宋体"/>
          <w:sz w:val="28"/>
          <w:szCs w:val="28"/>
        </w:rPr>
      </w:pPr>
      <w:r>
        <w:rPr>
          <w:rFonts w:hint="eastAsia" w:ascii="宋体" w:hAnsi="宋体" w:eastAsia="宋体" w:cs="宋体"/>
          <w:sz w:val="28"/>
          <w:szCs w:val="28"/>
        </w:rPr>
        <w:drawing>
          <wp:inline distT="0" distB="0" distL="114300" distR="114300">
            <wp:extent cx="5267325" cy="7023100"/>
            <wp:effectExtent l="0" t="0" r="5715" b="2540"/>
            <wp:docPr id="43" name="图片 43" descr="国土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国土局"/>
                    <pic:cNvPicPr>
                      <a:picLocks noChangeAspect="1"/>
                    </pic:cNvPicPr>
                  </pic:nvPicPr>
                  <pic:blipFill>
                    <a:blip r:embed="rId64"/>
                    <a:stretch>
                      <a:fillRect/>
                    </a:stretch>
                  </pic:blipFill>
                  <pic:spPr>
                    <a:xfrm>
                      <a:off x="0" y="0"/>
                      <a:ext cx="5267325" cy="7023100"/>
                    </a:xfrm>
                    <a:prstGeom prst="rect">
                      <a:avLst/>
                    </a:prstGeom>
                  </pic:spPr>
                </pic:pic>
              </a:graphicData>
            </a:graphic>
          </wp:inline>
        </w:drawing>
      </w:r>
      <w:r>
        <w:rPr>
          <w:rFonts w:hint="eastAsia" w:ascii="宋体" w:hAnsi="宋体" w:eastAsia="宋体" w:cs="宋体"/>
          <w:sz w:val="28"/>
          <w:szCs w:val="28"/>
        </w:rPr>
        <w:drawing>
          <wp:inline distT="0" distB="0" distL="114300" distR="114300">
            <wp:extent cx="5267325" cy="7023100"/>
            <wp:effectExtent l="0" t="0" r="5715" b="2540"/>
            <wp:docPr id="42" name="图片 42" descr="国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国2"/>
                    <pic:cNvPicPr>
                      <a:picLocks noChangeAspect="1"/>
                    </pic:cNvPicPr>
                  </pic:nvPicPr>
                  <pic:blipFill>
                    <a:blip r:embed="rId65"/>
                    <a:stretch>
                      <a:fillRect/>
                    </a:stretch>
                  </pic:blipFill>
                  <pic:spPr>
                    <a:xfrm>
                      <a:off x="0" y="0"/>
                      <a:ext cx="5267325" cy="7023100"/>
                    </a:xfrm>
                    <a:prstGeom prst="rect">
                      <a:avLst/>
                    </a:prstGeom>
                  </pic:spPr>
                </pic:pic>
              </a:graphicData>
            </a:graphic>
          </wp:inline>
        </w:drawing>
      </w:r>
    </w:p>
    <w:p>
      <w:pPr>
        <w:spacing w:line="360" w:lineRule="auto"/>
        <w:rPr>
          <w:rFonts w:ascii="宋体" w:hAnsi="宋体" w:eastAsia="宋体" w:cs="宋体"/>
          <w:sz w:val="28"/>
          <w:szCs w:val="28"/>
        </w:rPr>
      </w:pPr>
    </w:p>
    <w:p>
      <w:pPr>
        <w:spacing w:line="360" w:lineRule="auto"/>
        <w:rPr>
          <w:rFonts w:ascii="宋体" w:hAnsi="宋体" w:eastAsia="宋体" w:cs="宋体"/>
          <w:sz w:val="28"/>
          <w:szCs w:val="28"/>
        </w:rPr>
      </w:pPr>
    </w:p>
    <w:p>
      <w:pPr>
        <w:spacing w:line="360" w:lineRule="auto"/>
        <w:rPr>
          <w:rFonts w:ascii="宋体" w:hAnsi="宋体" w:eastAsia="宋体" w:cs="宋体"/>
          <w:sz w:val="28"/>
          <w:szCs w:val="28"/>
        </w:rPr>
      </w:pPr>
    </w:p>
    <w:p>
      <w:pPr>
        <w:spacing w:line="360" w:lineRule="auto"/>
        <w:rPr>
          <w:rFonts w:ascii="宋体" w:hAnsi="宋体" w:eastAsia="宋体" w:cs="宋体"/>
          <w:sz w:val="28"/>
          <w:szCs w:val="28"/>
        </w:rPr>
      </w:pPr>
    </w:p>
    <w:p>
      <w:pPr>
        <w:spacing w:line="360" w:lineRule="auto"/>
        <w:outlineLvl w:val="0"/>
        <w:rPr>
          <w:rFonts w:ascii="宋体" w:hAnsi="宋体" w:eastAsia="宋体" w:cs="宋体"/>
          <w:sz w:val="28"/>
          <w:szCs w:val="28"/>
        </w:rPr>
      </w:pPr>
      <w:bookmarkStart w:id="61" w:name="_Toc21290"/>
      <w:r>
        <w:rPr>
          <w:rFonts w:hint="eastAsia" w:ascii="宋体" w:hAnsi="宋体" w:eastAsia="宋体" w:cs="宋体"/>
          <w:sz w:val="28"/>
          <w:szCs w:val="28"/>
        </w:rPr>
        <w:t>附件7 监测报告</w:t>
      </w:r>
      <w:bookmarkEnd w:id="61"/>
    </w:p>
    <w:p>
      <w:pPr>
        <w:spacing w:line="360" w:lineRule="auto"/>
        <w:rPr>
          <w:rFonts w:ascii="宋体" w:hAnsi="宋体" w:eastAsia="宋体" w:cs="宋体"/>
          <w:sz w:val="28"/>
          <w:szCs w:val="28"/>
        </w:rPr>
      </w:pPr>
      <w:r>
        <w:rPr>
          <w:rFonts w:hint="eastAsia" w:ascii="宋体" w:hAnsi="宋体" w:eastAsia="宋体" w:cs="宋体"/>
          <w:sz w:val="28"/>
          <w:szCs w:val="28"/>
        </w:rPr>
        <w:drawing>
          <wp:inline distT="0" distB="0" distL="114300" distR="114300">
            <wp:extent cx="5267325" cy="7023100"/>
            <wp:effectExtent l="0" t="0" r="5715" b="2540"/>
            <wp:docPr id="34" name="图片 34" descr="webwxgetmsgim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webwxgetmsgimg (3)"/>
                    <pic:cNvPicPr>
                      <a:picLocks noChangeAspect="1"/>
                    </pic:cNvPicPr>
                  </pic:nvPicPr>
                  <pic:blipFill>
                    <a:blip r:embed="rId66"/>
                    <a:stretch>
                      <a:fillRect/>
                    </a:stretch>
                  </pic:blipFill>
                  <pic:spPr>
                    <a:xfrm>
                      <a:off x="0" y="0"/>
                      <a:ext cx="5267325" cy="7023100"/>
                    </a:xfrm>
                    <a:prstGeom prst="rect">
                      <a:avLst/>
                    </a:prstGeom>
                  </pic:spPr>
                </pic:pic>
              </a:graphicData>
            </a:graphic>
          </wp:inline>
        </w:drawing>
      </w:r>
    </w:p>
    <w:p>
      <w:pPr>
        <w:spacing w:line="360" w:lineRule="auto"/>
        <w:rPr>
          <w:rFonts w:ascii="宋体" w:hAnsi="宋体" w:eastAsia="宋体" w:cs="宋体"/>
          <w:sz w:val="28"/>
          <w:szCs w:val="28"/>
        </w:rPr>
      </w:pPr>
    </w:p>
    <w:p>
      <w:pPr>
        <w:spacing w:line="360" w:lineRule="auto"/>
        <w:jc w:val="center"/>
        <w:rPr>
          <w:rFonts w:ascii="宋体" w:hAnsi="宋体" w:eastAsia="宋体" w:cs="宋体"/>
          <w:sz w:val="28"/>
          <w:szCs w:val="28"/>
        </w:rPr>
      </w:pPr>
      <w:r>
        <w:rPr>
          <w:rFonts w:hint="eastAsia" w:ascii="宋体" w:hAnsi="宋体" w:eastAsia="宋体" w:cs="宋体"/>
          <w:sz w:val="28"/>
          <w:szCs w:val="28"/>
        </w:rPr>
        <w:drawing>
          <wp:inline distT="0" distB="0" distL="114300" distR="114300">
            <wp:extent cx="8104505" cy="4849495"/>
            <wp:effectExtent l="0" t="0" r="12065" b="3175"/>
            <wp:docPr id="58" name="图片 58" descr="webwxgetmsgim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webwxgetmsgimg (1)"/>
                    <pic:cNvPicPr>
                      <a:picLocks noChangeAspect="1"/>
                    </pic:cNvPicPr>
                  </pic:nvPicPr>
                  <pic:blipFill>
                    <a:blip r:embed="rId67"/>
                    <a:stretch>
                      <a:fillRect/>
                    </a:stretch>
                  </pic:blipFill>
                  <pic:spPr>
                    <a:xfrm rot="5400000">
                      <a:off x="0" y="0"/>
                      <a:ext cx="8104505" cy="4849495"/>
                    </a:xfrm>
                    <a:prstGeom prst="rect">
                      <a:avLst/>
                    </a:prstGeom>
                  </pic:spPr>
                </pic:pic>
              </a:graphicData>
            </a:graphic>
          </wp:inline>
        </w:drawing>
      </w:r>
    </w:p>
    <w:p>
      <w:pPr>
        <w:spacing w:line="360" w:lineRule="auto"/>
        <w:jc w:val="center"/>
        <w:rPr>
          <w:rFonts w:ascii="宋体" w:hAnsi="宋体" w:eastAsia="宋体" w:cs="宋体"/>
          <w:sz w:val="28"/>
          <w:szCs w:val="28"/>
        </w:rPr>
      </w:pPr>
    </w:p>
    <w:p>
      <w:pPr>
        <w:spacing w:line="360" w:lineRule="auto"/>
        <w:jc w:val="center"/>
        <w:rPr>
          <w:rFonts w:ascii="宋体" w:hAnsi="宋体" w:eastAsia="宋体" w:cs="宋体"/>
          <w:sz w:val="28"/>
          <w:szCs w:val="28"/>
        </w:rPr>
      </w:pPr>
    </w:p>
    <w:p>
      <w:pPr>
        <w:spacing w:line="360" w:lineRule="auto"/>
        <w:jc w:val="center"/>
      </w:pPr>
      <w:r>
        <w:rPr>
          <w:rFonts w:hint="eastAsia"/>
        </w:rPr>
        <w:drawing>
          <wp:inline distT="0" distB="0" distL="114300" distR="114300">
            <wp:extent cx="6348730" cy="4761230"/>
            <wp:effectExtent l="0" t="0" r="8890" b="6350"/>
            <wp:docPr id="61" name="图片 61" descr="webwxgetmsgim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webwxgetmsgimg (12)"/>
                    <pic:cNvPicPr>
                      <a:picLocks noChangeAspect="1"/>
                    </pic:cNvPicPr>
                  </pic:nvPicPr>
                  <pic:blipFill>
                    <a:blip r:embed="rId68"/>
                    <a:stretch>
                      <a:fillRect/>
                    </a:stretch>
                  </pic:blipFill>
                  <pic:spPr>
                    <a:xfrm rot="5400000">
                      <a:off x="0" y="0"/>
                      <a:ext cx="6348730" cy="4761230"/>
                    </a:xfrm>
                    <a:prstGeom prst="rect">
                      <a:avLst/>
                    </a:prstGeom>
                  </pic:spPr>
                </pic:pic>
              </a:graphicData>
            </a:graphic>
          </wp:inline>
        </w:drawing>
      </w:r>
    </w:p>
    <w:p>
      <w:pPr>
        <w:spacing w:line="360" w:lineRule="auto"/>
        <w:jc w:val="center"/>
      </w:pPr>
      <w:r>
        <w:rPr>
          <w:rFonts w:hint="eastAsia"/>
        </w:rPr>
        <w:drawing>
          <wp:inline distT="0" distB="0" distL="114300" distR="114300">
            <wp:extent cx="6188710" cy="4641215"/>
            <wp:effectExtent l="0" t="0" r="6985" b="13970"/>
            <wp:docPr id="52" name="图片 52" descr="webwxgetmsgim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webwxgetmsgimg (6)"/>
                    <pic:cNvPicPr>
                      <a:picLocks noChangeAspect="1"/>
                    </pic:cNvPicPr>
                  </pic:nvPicPr>
                  <pic:blipFill>
                    <a:blip r:embed="rId69"/>
                    <a:stretch>
                      <a:fillRect/>
                    </a:stretch>
                  </pic:blipFill>
                  <pic:spPr>
                    <a:xfrm rot="5400000">
                      <a:off x="0" y="0"/>
                      <a:ext cx="6188710" cy="4641215"/>
                    </a:xfrm>
                    <a:prstGeom prst="rect">
                      <a:avLst/>
                    </a:prstGeom>
                  </pic:spPr>
                </pic:pic>
              </a:graphicData>
            </a:graphic>
          </wp:inline>
        </w:drawing>
      </w:r>
    </w:p>
    <w:p>
      <w:pPr>
        <w:spacing w:line="360" w:lineRule="auto"/>
        <w:jc w:val="center"/>
      </w:pPr>
    </w:p>
    <w:p>
      <w:pPr>
        <w:spacing w:line="360" w:lineRule="auto"/>
        <w:jc w:val="center"/>
      </w:pPr>
    </w:p>
    <w:p>
      <w:pPr>
        <w:spacing w:line="360" w:lineRule="auto"/>
        <w:jc w:val="center"/>
      </w:pPr>
    </w:p>
    <w:p>
      <w:pPr>
        <w:spacing w:line="360" w:lineRule="auto"/>
        <w:jc w:val="center"/>
      </w:pPr>
    </w:p>
    <w:p>
      <w:pPr>
        <w:spacing w:line="360" w:lineRule="auto"/>
        <w:jc w:val="center"/>
      </w:pPr>
    </w:p>
    <w:p>
      <w:pPr>
        <w:spacing w:line="360" w:lineRule="auto"/>
        <w:jc w:val="center"/>
      </w:pPr>
    </w:p>
    <w:p>
      <w:pPr>
        <w:spacing w:line="360" w:lineRule="auto"/>
        <w:jc w:val="center"/>
      </w:pPr>
    </w:p>
    <w:p>
      <w:pPr>
        <w:spacing w:line="360" w:lineRule="auto"/>
        <w:jc w:val="center"/>
      </w:pPr>
    </w:p>
    <w:p>
      <w:pPr>
        <w:spacing w:line="360" w:lineRule="auto"/>
      </w:pPr>
      <w:r>
        <w:rPr>
          <w:rFonts w:hint="eastAsia"/>
        </w:rPr>
        <w:drawing>
          <wp:inline distT="0" distB="0" distL="114300" distR="114300">
            <wp:extent cx="5267325" cy="7023735"/>
            <wp:effectExtent l="0" t="0" r="5715" b="1905"/>
            <wp:docPr id="62" name="图片 62" descr="webwxgetmsgim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webwxgetmsgimg (7)"/>
                    <pic:cNvPicPr>
                      <a:picLocks noChangeAspect="1"/>
                    </pic:cNvPicPr>
                  </pic:nvPicPr>
                  <pic:blipFill>
                    <a:blip r:embed="rId70"/>
                    <a:stretch>
                      <a:fillRect/>
                    </a:stretch>
                  </pic:blipFill>
                  <pic:spPr>
                    <a:xfrm>
                      <a:off x="0" y="0"/>
                      <a:ext cx="5267325" cy="7023735"/>
                    </a:xfrm>
                    <a:prstGeom prst="rect">
                      <a:avLst/>
                    </a:prstGeom>
                  </pic:spPr>
                </pic:pic>
              </a:graphicData>
            </a:graphic>
          </wp:inline>
        </w:drawing>
      </w: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r>
        <w:rPr>
          <w:rFonts w:hint="eastAsia"/>
        </w:rPr>
        <w:drawing>
          <wp:inline distT="0" distB="0" distL="114300" distR="114300">
            <wp:extent cx="5267325" cy="7023735"/>
            <wp:effectExtent l="0" t="0" r="5715" b="1905"/>
            <wp:docPr id="63" name="图片 63" descr="webwxgetmsgim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webwxgetmsgimg (8)"/>
                    <pic:cNvPicPr>
                      <a:picLocks noChangeAspect="1"/>
                    </pic:cNvPicPr>
                  </pic:nvPicPr>
                  <pic:blipFill>
                    <a:blip r:embed="rId71"/>
                    <a:stretch>
                      <a:fillRect/>
                    </a:stretch>
                  </pic:blipFill>
                  <pic:spPr>
                    <a:xfrm>
                      <a:off x="0" y="0"/>
                      <a:ext cx="5267325" cy="7023735"/>
                    </a:xfrm>
                    <a:prstGeom prst="rect">
                      <a:avLst/>
                    </a:prstGeom>
                  </pic:spPr>
                </pic:pic>
              </a:graphicData>
            </a:graphic>
          </wp:inline>
        </w:drawing>
      </w: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r>
        <w:rPr>
          <w:rFonts w:hint="eastAsia"/>
        </w:rPr>
        <w:drawing>
          <wp:inline distT="0" distB="0" distL="114300" distR="114300">
            <wp:extent cx="5267325" cy="7023735"/>
            <wp:effectExtent l="0" t="0" r="5715" b="1905"/>
            <wp:docPr id="64" name="图片 64" descr="webwxgetmsgim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webwxgetmsgimg (9)"/>
                    <pic:cNvPicPr>
                      <a:picLocks noChangeAspect="1"/>
                    </pic:cNvPicPr>
                  </pic:nvPicPr>
                  <pic:blipFill>
                    <a:blip r:embed="rId72"/>
                    <a:stretch>
                      <a:fillRect/>
                    </a:stretch>
                  </pic:blipFill>
                  <pic:spPr>
                    <a:xfrm>
                      <a:off x="0" y="0"/>
                      <a:ext cx="5267325" cy="7023735"/>
                    </a:xfrm>
                    <a:prstGeom prst="rect">
                      <a:avLst/>
                    </a:prstGeom>
                  </pic:spPr>
                </pic:pic>
              </a:graphicData>
            </a:graphic>
          </wp:inline>
        </w:drawing>
      </w: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r>
        <w:rPr>
          <w:rFonts w:hint="eastAsia"/>
        </w:rPr>
        <w:drawing>
          <wp:inline distT="0" distB="0" distL="114300" distR="114300">
            <wp:extent cx="5267325" cy="7023735"/>
            <wp:effectExtent l="0" t="0" r="5715" b="1905"/>
            <wp:docPr id="65" name="图片 65" descr="webwxgetmsgim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webwxgetmsgimg (10)"/>
                    <pic:cNvPicPr>
                      <a:picLocks noChangeAspect="1"/>
                    </pic:cNvPicPr>
                  </pic:nvPicPr>
                  <pic:blipFill>
                    <a:blip r:embed="rId73"/>
                    <a:stretch>
                      <a:fillRect/>
                    </a:stretch>
                  </pic:blipFill>
                  <pic:spPr>
                    <a:xfrm>
                      <a:off x="0" y="0"/>
                      <a:ext cx="5267325" cy="7023735"/>
                    </a:xfrm>
                    <a:prstGeom prst="rect">
                      <a:avLst/>
                    </a:prstGeom>
                  </pic:spPr>
                </pic:pic>
              </a:graphicData>
            </a:graphic>
          </wp:inline>
        </w:drawing>
      </w:r>
    </w:p>
    <w:p>
      <w:pPr>
        <w:spacing w:line="360" w:lineRule="auto"/>
      </w:pPr>
    </w:p>
    <w:p>
      <w:pPr>
        <w:spacing w:line="360" w:lineRule="auto"/>
      </w:pPr>
    </w:p>
    <w:p>
      <w:pPr>
        <w:spacing w:line="360" w:lineRule="auto"/>
      </w:pPr>
      <w:r>
        <w:rPr>
          <w:rFonts w:hint="eastAsia"/>
        </w:rPr>
        <w:drawing>
          <wp:inline distT="0" distB="0" distL="114300" distR="114300">
            <wp:extent cx="5267325" cy="7023735"/>
            <wp:effectExtent l="0" t="0" r="5715" b="1905"/>
            <wp:docPr id="68" name="图片 68" descr="webwxgetmsgim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webwxgetmsgimg (11)"/>
                    <pic:cNvPicPr>
                      <a:picLocks noChangeAspect="1"/>
                    </pic:cNvPicPr>
                  </pic:nvPicPr>
                  <pic:blipFill>
                    <a:blip r:embed="rId74"/>
                    <a:stretch>
                      <a:fillRect/>
                    </a:stretch>
                  </pic:blipFill>
                  <pic:spPr>
                    <a:xfrm>
                      <a:off x="0" y="0"/>
                      <a:ext cx="5267325" cy="7023735"/>
                    </a:xfrm>
                    <a:prstGeom prst="rect">
                      <a:avLst/>
                    </a:prstGeom>
                  </pic:spPr>
                </pic:pic>
              </a:graphicData>
            </a:graphic>
          </wp:inline>
        </w:drawing>
      </w:r>
    </w:p>
    <w:p>
      <w:pPr>
        <w:rPr>
          <w:rFonts w:hint="eastAsia"/>
          <w:lang w:val="en-US" w:eastAsia="zh-CN"/>
        </w:rPr>
      </w:pPr>
    </w:p>
    <w:p>
      <w:pPr>
        <w:spacing w:line="360" w:lineRule="auto"/>
        <w:rPr>
          <w:rFonts w:hint="eastAsia" w:ascii="宋体" w:hAnsi="宋体" w:eastAsia="宋体" w:cs="宋体"/>
          <w:color w:val="000000"/>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p>
      <w:pPr>
        <w:spacing w:line="360" w:lineRule="auto"/>
        <w:rPr>
          <w:rFonts w:ascii="宋体" w:hAnsi="宋体" w:eastAsia="宋体" w:cs="宋体"/>
          <w:b/>
          <w:bCs/>
          <w:sz w:val="28"/>
          <w:szCs w:val="28"/>
        </w:rPr>
      </w:pPr>
    </w:p>
    <w:sectPr>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pict>
        <v:shape id="_x0000_s2049" o:spid="_x0000_s2049"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q3aO4V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Hq3aO4VAgAAFQQAAA4AAAAAAAAA&#10;AQAgAAAAHwEAAGRycy9lMm9Eb2MueG1sUEsFBgAAAAAGAAYAWQEAAKYFAAAAAA==&#10;">
          <v:path/>
          <v:fill on="f" focussize="0,0"/>
          <v:stroke on="f" weight="0.5pt" joinstyle="miter"/>
          <v:imagedata o:title=""/>
          <o:lock v:ext="edit"/>
          <v:textbox inset="0mm,0mm,0mm,0mm" style="mso-fit-shape-to-text:t;">
            <w:txbxContent>
              <w:p>
                <w:pPr>
                  <w:pStyle w:val="6"/>
                </w:pPr>
                <w:r>
                  <w:fldChar w:fldCharType="begin"/>
                </w:r>
                <w:r>
                  <w:instrText xml:space="preserve"> PAGE  \* MERGEFORMAT </w:instrText>
                </w:r>
                <w:r>
                  <w:fldChar w:fldCharType="separate"/>
                </w:r>
                <w:r>
                  <w:t>38</w:t>
                </w:r>
                <w: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single" w:color="auto" w:sz="4" w:space="1"/>
      </w:pBdr>
    </w:pPr>
    <w:r>
      <w:rPr>
        <w:rFonts w:hint="eastAsia"/>
      </w:rPr>
      <w:t>内蒙古大青山太伟度假村产权式酒店一期工程                         竣工环境保护验收调查报告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B5843D7"/>
    <w:multiLevelType w:val="singleLevel"/>
    <w:tmpl w:val="CB5843D7"/>
    <w:lvl w:ilvl="0" w:tentative="0">
      <w:start w:val="1"/>
      <w:numFmt w:val="decimal"/>
      <w:suff w:val="nothing"/>
      <w:lvlText w:val="（%1）"/>
      <w:lvlJc w:val="left"/>
    </w:lvl>
  </w:abstractNum>
  <w:abstractNum w:abstractNumId="1">
    <w:nsid w:val="68FA1106"/>
    <w:multiLevelType w:val="multilevel"/>
    <w:tmpl w:val="68FA1106"/>
    <w:lvl w:ilvl="0" w:tentative="0">
      <w:start w:val="1"/>
      <w:numFmt w:val="decimal"/>
      <w:lvlText w:val="%1"/>
      <w:lvlJc w:val="right"/>
      <w:pPr>
        <w:ind w:left="420" w:hanging="227"/>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918B5"/>
    <w:rsid w:val="000E2E17"/>
    <w:rsid w:val="00172A27"/>
    <w:rsid w:val="001F550B"/>
    <w:rsid w:val="00201D61"/>
    <w:rsid w:val="00262436"/>
    <w:rsid w:val="00550C44"/>
    <w:rsid w:val="005C5B6A"/>
    <w:rsid w:val="00924F6C"/>
    <w:rsid w:val="009363B2"/>
    <w:rsid w:val="009C7BB1"/>
    <w:rsid w:val="00B22E9E"/>
    <w:rsid w:val="00C761CB"/>
    <w:rsid w:val="00EC0A34"/>
    <w:rsid w:val="010A0E6A"/>
    <w:rsid w:val="01181FF7"/>
    <w:rsid w:val="01517FEE"/>
    <w:rsid w:val="01607326"/>
    <w:rsid w:val="01630FE7"/>
    <w:rsid w:val="01697DC6"/>
    <w:rsid w:val="017E2FBC"/>
    <w:rsid w:val="019361A4"/>
    <w:rsid w:val="019D08C6"/>
    <w:rsid w:val="01C53F5F"/>
    <w:rsid w:val="01F1023A"/>
    <w:rsid w:val="02100440"/>
    <w:rsid w:val="021A3C55"/>
    <w:rsid w:val="023413F0"/>
    <w:rsid w:val="023704E8"/>
    <w:rsid w:val="02753833"/>
    <w:rsid w:val="027D7A2A"/>
    <w:rsid w:val="028536CD"/>
    <w:rsid w:val="02AE3ACE"/>
    <w:rsid w:val="02AF2142"/>
    <w:rsid w:val="02BE7983"/>
    <w:rsid w:val="02C6166E"/>
    <w:rsid w:val="02F247D0"/>
    <w:rsid w:val="02F768CE"/>
    <w:rsid w:val="030755FB"/>
    <w:rsid w:val="0348770B"/>
    <w:rsid w:val="035374C5"/>
    <w:rsid w:val="03695024"/>
    <w:rsid w:val="039A3B11"/>
    <w:rsid w:val="039D3253"/>
    <w:rsid w:val="03C16396"/>
    <w:rsid w:val="03E77085"/>
    <w:rsid w:val="04141F6B"/>
    <w:rsid w:val="041F7AD4"/>
    <w:rsid w:val="04292636"/>
    <w:rsid w:val="047160C9"/>
    <w:rsid w:val="047D72DB"/>
    <w:rsid w:val="04911A5E"/>
    <w:rsid w:val="049675E3"/>
    <w:rsid w:val="049957C7"/>
    <w:rsid w:val="04A76F67"/>
    <w:rsid w:val="04B65841"/>
    <w:rsid w:val="04CC5633"/>
    <w:rsid w:val="04ED7DCE"/>
    <w:rsid w:val="052548E1"/>
    <w:rsid w:val="052F5F93"/>
    <w:rsid w:val="05486293"/>
    <w:rsid w:val="05555E74"/>
    <w:rsid w:val="05660436"/>
    <w:rsid w:val="057F0723"/>
    <w:rsid w:val="058239A8"/>
    <w:rsid w:val="058331AB"/>
    <w:rsid w:val="058736DD"/>
    <w:rsid w:val="05AE643F"/>
    <w:rsid w:val="05BF45A4"/>
    <w:rsid w:val="05DF3D13"/>
    <w:rsid w:val="05E97093"/>
    <w:rsid w:val="060B15DF"/>
    <w:rsid w:val="06201903"/>
    <w:rsid w:val="062E2BE9"/>
    <w:rsid w:val="067C3609"/>
    <w:rsid w:val="068907B1"/>
    <w:rsid w:val="069E126F"/>
    <w:rsid w:val="06A84DC8"/>
    <w:rsid w:val="06E349B8"/>
    <w:rsid w:val="06E62283"/>
    <w:rsid w:val="06E62E84"/>
    <w:rsid w:val="070513D7"/>
    <w:rsid w:val="07080744"/>
    <w:rsid w:val="071B17A7"/>
    <w:rsid w:val="073059A6"/>
    <w:rsid w:val="07510131"/>
    <w:rsid w:val="076533A3"/>
    <w:rsid w:val="07707B1C"/>
    <w:rsid w:val="07905FCD"/>
    <w:rsid w:val="07B047BD"/>
    <w:rsid w:val="07D905F9"/>
    <w:rsid w:val="07E06F4F"/>
    <w:rsid w:val="07FE498A"/>
    <w:rsid w:val="08192C67"/>
    <w:rsid w:val="08416889"/>
    <w:rsid w:val="08761E6F"/>
    <w:rsid w:val="0883033F"/>
    <w:rsid w:val="088A24DD"/>
    <w:rsid w:val="0892492A"/>
    <w:rsid w:val="08BA431B"/>
    <w:rsid w:val="08BB79C5"/>
    <w:rsid w:val="08BC36C6"/>
    <w:rsid w:val="0909090E"/>
    <w:rsid w:val="09097ABA"/>
    <w:rsid w:val="092E2CDF"/>
    <w:rsid w:val="09A11AFF"/>
    <w:rsid w:val="09A30E02"/>
    <w:rsid w:val="09CA0A93"/>
    <w:rsid w:val="09DA42B2"/>
    <w:rsid w:val="09F04579"/>
    <w:rsid w:val="0A092386"/>
    <w:rsid w:val="0A492B22"/>
    <w:rsid w:val="0A5E0158"/>
    <w:rsid w:val="0A81435F"/>
    <w:rsid w:val="0ACD74EC"/>
    <w:rsid w:val="0ADF6710"/>
    <w:rsid w:val="0B2D6DBD"/>
    <w:rsid w:val="0B410ED7"/>
    <w:rsid w:val="0B4C6376"/>
    <w:rsid w:val="0B6306DD"/>
    <w:rsid w:val="0B9E5264"/>
    <w:rsid w:val="0BBD345C"/>
    <w:rsid w:val="0BBD5212"/>
    <w:rsid w:val="0BE75087"/>
    <w:rsid w:val="0BE953DA"/>
    <w:rsid w:val="0BF218F8"/>
    <w:rsid w:val="0BF620B9"/>
    <w:rsid w:val="0C2256DD"/>
    <w:rsid w:val="0C45358C"/>
    <w:rsid w:val="0C4C0FE1"/>
    <w:rsid w:val="0C646760"/>
    <w:rsid w:val="0CA23E38"/>
    <w:rsid w:val="0CCD42C8"/>
    <w:rsid w:val="0CDA648C"/>
    <w:rsid w:val="0CDA6C75"/>
    <w:rsid w:val="0CE16C75"/>
    <w:rsid w:val="0CFD36A3"/>
    <w:rsid w:val="0D073515"/>
    <w:rsid w:val="0D084CFF"/>
    <w:rsid w:val="0D09615C"/>
    <w:rsid w:val="0D0B7B07"/>
    <w:rsid w:val="0D0F40EC"/>
    <w:rsid w:val="0D3F40CD"/>
    <w:rsid w:val="0D462650"/>
    <w:rsid w:val="0D737B25"/>
    <w:rsid w:val="0D7471D5"/>
    <w:rsid w:val="0D8852C4"/>
    <w:rsid w:val="0DA40A56"/>
    <w:rsid w:val="0DC226DC"/>
    <w:rsid w:val="0DC81E1B"/>
    <w:rsid w:val="0E1A687F"/>
    <w:rsid w:val="0E1E66FD"/>
    <w:rsid w:val="0E5F1F5C"/>
    <w:rsid w:val="0E602C9F"/>
    <w:rsid w:val="0E8D7EBA"/>
    <w:rsid w:val="0EFF2232"/>
    <w:rsid w:val="0F1A0F37"/>
    <w:rsid w:val="0F2C5DE9"/>
    <w:rsid w:val="0F4F3AA0"/>
    <w:rsid w:val="0F5E3204"/>
    <w:rsid w:val="0F641546"/>
    <w:rsid w:val="0F66368E"/>
    <w:rsid w:val="0F690332"/>
    <w:rsid w:val="0F8E7FB2"/>
    <w:rsid w:val="0FB159C0"/>
    <w:rsid w:val="0FB620E4"/>
    <w:rsid w:val="0FDC7770"/>
    <w:rsid w:val="0FE47FC7"/>
    <w:rsid w:val="0FF46CD5"/>
    <w:rsid w:val="10354005"/>
    <w:rsid w:val="10656B38"/>
    <w:rsid w:val="107F51D6"/>
    <w:rsid w:val="10896B0C"/>
    <w:rsid w:val="109518DA"/>
    <w:rsid w:val="109D4179"/>
    <w:rsid w:val="10B82997"/>
    <w:rsid w:val="10D47EBE"/>
    <w:rsid w:val="10DB2D89"/>
    <w:rsid w:val="10DD3980"/>
    <w:rsid w:val="10EB2246"/>
    <w:rsid w:val="10F125F3"/>
    <w:rsid w:val="10F54606"/>
    <w:rsid w:val="10F77B75"/>
    <w:rsid w:val="11590FD5"/>
    <w:rsid w:val="11926FC5"/>
    <w:rsid w:val="11A65D92"/>
    <w:rsid w:val="11ED274E"/>
    <w:rsid w:val="12371210"/>
    <w:rsid w:val="124F1DF8"/>
    <w:rsid w:val="1250296B"/>
    <w:rsid w:val="12A12EF5"/>
    <w:rsid w:val="12C07CDC"/>
    <w:rsid w:val="12C23028"/>
    <w:rsid w:val="12C33A7C"/>
    <w:rsid w:val="12CD53D1"/>
    <w:rsid w:val="132F2E88"/>
    <w:rsid w:val="13696758"/>
    <w:rsid w:val="13811BDE"/>
    <w:rsid w:val="138962BA"/>
    <w:rsid w:val="13902CE6"/>
    <w:rsid w:val="13B91E78"/>
    <w:rsid w:val="13C7441F"/>
    <w:rsid w:val="140E5A30"/>
    <w:rsid w:val="140E74EE"/>
    <w:rsid w:val="14320DD5"/>
    <w:rsid w:val="14707823"/>
    <w:rsid w:val="14787D2A"/>
    <w:rsid w:val="148C78BE"/>
    <w:rsid w:val="14935019"/>
    <w:rsid w:val="14BB3E96"/>
    <w:rsid w:val="14EE172B"/>
    <w:rsid w:val="15113F23"/>
    <w:rsid w:val="153F2D48"/>
    <w:rsid w:val="15916252"/>
    <w:rsid w:val="159B4A5E"/>
    <w:rsid w:val="15A607BC"/>
    <w:rsid w:val="15CF1EAF"/>
    <w:rsid w:val="15D4570A"/>
    <w:rsid w:val="15E3058E"/>
    <w:rsid w:val="15F164D5"/>
    <w:rsid w:val="15F72A0B"/>
    <w:rsid w:val="15FC19E4"/>
    <w:rsid w:val="16460418"/>
    <w:rsid w:val="16645DDF"/>
    <w:rsid w:val="166F5FA0"/>
    <w:rsid w:val="16CA7C1C"/>
    <w:rsid w:val="173766BB"/>
    <w:rsid w:val="1758475A"/>
    <w:rsid w:val="17777150"/>
    <w:rsid w:val="17876C8E"/>
    <w:rsid w:val="17912483"/>
    <w:rsid w:val="179954CA"/>
    <w:rsid w:val="17C179DA"/>
    <w:rsid w:val="17C27A3B"/>
    <w:rsid w:val="17E560B4"/>
    <w:rsid w:val="18166AA3"/>
    <w:rsid w:val="1836381F"/>
    <w:rsid w:val="1838463D"/>
    <w:rsid w:val="18497FD8"/>
    <w:rsid w:val="18703F14"/>
    <w:rsid w:val="18754335"/>
    <w:rsid w:val="18762F5E"/>
    <w:rsid w:val="18B02681"/>
    <w:rsid w:val="18DB4A26"/>
    <w:rsid w:val="18E03A97"/>
    <w:rsid w:val="18E342F6"/>
    <w:rsid w:val="18E603BC"/>
    <w:rsid w:val="18E83F92"/>
    <w:rsid w:val="18E86080"/>
    <w:rsid w:val="19456A95"/>
    <w:rsid w:val="19464842"/>
    <w:rsid w:val="19575C14"/>
    <w:rsid w:val="1959440D"/>
    <w:rsid w:val="19627DC3"/>
    <w:rsid w:val="196B38E4"/>
    <w:rsid w:val="198844A6"/>
    <w:rsid w:val="19B80446"/>
    <w:rsid w:val="19C86815"/>
    <w:rsid w:val="19D60D44"/>
    <w:rsid w:val="19D85B2E"/>
    <w:rsid w:val="19F87CF5"/>
    <w:rsid w:val="1A0F428D"/>
    <w:rsid w:val="1A0F6224"/>
    <w:rsid w:val="1A102FF0"/>
    <w:rsid w:val="1A225B4C"/>
    <w:rsid w:val="1A8A32A9"/>
    <w:rsid w:val="1A93634D"/>
    <w:rsid w:val="1A9B2138"/>
    <w:rsid w:val="1AA02B6D"/>
    <w:rsid w:val="1AA55194"/>
    <w:rsid w:val="1AC8058D"/>
    <w:rsid w:val="1AC81C21"/>
    <w:rsid w:val="1ACF24A7"/>
    <w:rsid w:val="1B0F4A36"/>
    <w:rsid w:val="1B1A0B5C"/>
    <w:rsid w:val="1B2F2797"/>
    <w:rsid w:val="1B35191F"/>
    <w:rsid w:val="1B3C0D56"/>
    <w:rsid w:val="1B3E5D2B"/>
    <w:rsid w:val="1B5D2CD7"/>
    <w:rsid w:val="1B8730A7"/>
    <w:rsid w:val="1B9D334B"/>
    <w:rsid w:val="1BAE2C9A"/>
    <w:rsid w:val="1BC570C1"/>
    <w:rsid w:val="1BE36554"/>
    <w:rsid w:val="1C2639B6"/>
    <w:rsid w:val="1C493D8B"/>
    <w:rsid w:val="1C7A6CE3"/>
    <w:rsid w:val="1CB05538"/>
    <w:rsid w:val="1CE63C21"/>
    <w:rsid w:val="1CEC2F75"/>
    <w:rsid w:val="1D084E75"/>
    <w:rsid w:val="1D1D3055"/>
    <w:rsid w:val="1D3B5965"/>
    <w:rsid w:val="1D463FA5"/>
    <w:rsid w:val="1D473D6F"/>
    <w:rsid w:val="1D6576E6"/>
    <w:rsid w:val="1D7B3AA2"/>
    <w:rsid w:val="1D871B73"/>
    <w:rsid w:val="1D887362"/>
    <w:rsid w:val="1D9434E9"/>
    <w:rsid w:val="1D99482F"/>
    <w:rsid w:val="1DFF32B2"/>
    <w:rsid w:val="1E095848"/>
    <w:rsid w:val="1E25060E"/>
    <w:rsid w:val="1E3E2A89"/>
    <w:rsid w:val="1E65204E"/>
    <w:rsid w:val="1E716187"/>
    <w:rsid w:val="1E9144BE"/>
    <w:rsid w:val="1EC877B0"/>
    <w:rsid w:val="1EC92B44"/>
    <w:rsid w:val="1F135F01"/>
    <w:rsid w:val="1F443FD9"/>
    <w:rsid w:val="1F5673C8"/>
    <w:rsid w:val="1F757D4C"/>
    <w:rsid w:val="1F765109"/>
    <w:rsid w:val="1F9B33B1"/>
    <w:rsid w:val="1FA140F2"/>
    <w:rsid w:val="1FAC2573"/>
    <w:rsid w:val="1FBE388C"/>
    <w:rsid w:val="1FD662BB"/>
    <w:rsid w:val="20035831"/>
    <w:rsid w:val="2006362B"/>
    <w:rsid w:val="200D7508"/>
    <w:rsid w:val="20306D4F"/>
    <w:rsid w:val="203C4166"/>
    <w:rsid w:val="204D25EF"/>
    <w:rsid w:val="20570AD7"/>
    <w:rsid w:val="20664590"/>
    <w:rsid w:val="20785A5D"/>
    <w:rsid w:val="209F4707"/>
    <w:rsid w:val="20A05705"/>
    <w:rsid w:val="20A26DBB"/>
    <w:rsid w:val="20C84A4B"/>
    <w:rsid w:val="20DB4D91"/>
    <w:rsid w:val="211620A7"/>
    <w:rsid w:val="21641C66"/>
    <w:rsid w:val="21864336"/>
    <w:rsid w:val="21906193"/>
    <w:rsid w:val="21CE7A76"/>
    <w:rsid w:val="21D62981"/>
    <w:rsid w:val="21EB5770"/>
    <w:rsid w:val="21FA11B9"/>
    <w:rsid w:val="21FB1F6F"/>
    <w:rsid w:val="22085165"/>
    <w:rsid w:val="2243623B"/>
    <w:rsid w:val="22703150"/>
    <w:rsid w:val="2288301F"/>
    <w:rsid w:val="22A56E39"/>
    <w:rsid w:val="22F06DCA"/>
    <w:rsid w:val="22FC325B"/>
    <w:rsid w:val="230C17E5"/>
    <w:rsid w:val="23246773"/>
    <w:rsid w:val="237A1C15"/>
    <w:rsid w:val="239A0209"/>
    <w:rsid w:val="23A33DDD"/>
    <w:rsid w:val="23A968A7"/>
    <w:rsid w:val="23B508B2"/>
    <w:rsid w:val="23BB5588"/>
    <w:rsid w:val="23BB6F63"/>
    <w:rsid w:val="23DF17B1"/>
    <w:rsid w:val="23EF7AF2"/>
    <w:rsid w:val="24151E74"/>
    <w:rsid w:val="2416296B"/>
    <w:rsid w:val="24241F22"/>
    <w:rsid w:val="245B71B4"/>
    <w:rsid w:val="245F3556"/>
    <w:rsid w:val="249A6C7C"/>
    <w:rsid w:val="24E41264"/>
    <w:rsid w:val="254E4D1B"/>
    <w:rsid w:val="255F5E6D"/>
    <w:rsid w:val="256D5E3E"/>
    <w:rsid w:val="257C26B8"/>
    <w:rsid w:val="25AC6B39"/>
    <w:rsid w:val="25EE0808"/>
    <w:rsid w:val="25F925D3"/>
    <w:rsid w:val="26262537"/>
    <w:rsid w:val="266D3410"/>
    <w:rsid w:val="26711B16"/>
    <w:rsid w:val="267E4981"/>
    <w:rsid w:val="26A83B4B"/>
    <w:rsid w:val="26B6565E"/>
    <w:rsid w:val="27001C47"/>
    <w:rsid w:val="271A65E9"/>
    <w:rsid w:val="272A35C2"/>
    <w:rsid w:val="274968B2"/>
    <w:rsid w:val="274A57A1"/>
    <w:rsid w:val="277A4E7E"/>
    <w:rsid w:val="27873217"/>
    <w:rsid w:val="27941380"/>
    <w:rsid w:val="27A205A1"/>
    <w:rsid w:val="27AF2B9E"/>
    <w:rsid w:val="27B53720"/>
    <w:rsid w:val="27BC558A"/>
    <w:rsid w:val="27F34B41"/>
    <w:rsid w:val="27F94CCD"/>
    <w:rsid w:val="280E080F"/>
    <w:rsid w:val="28326673"/>
    <w:rsid w:val="28333147"/>
    <w:rsid w:val="28384BB6"/>
    <w:rsid w:val="2890212B"/>
    <w:rsid w:val="28DC0637"/>
    <w:rsid w:val="28E5275A"/>
    <w:rsid w:val="294A53EF"/>
    <w:rsid w:val="295927EB"/>
    <w:rsid w:val="29A61061"/>
    <w:rsid w:val="2A2E4620"/>
    <w:rsid w:val="2A3F100C"/>
    <w:rsid w:val="2A4E6455"/>
    <w:rsid w:val="2A93668A"/>
    <w:rsid w:val="2A940797"/>
    <w:rsid w:val="2AA236FD"/>
    <w:rsid w:val="2AB519A8"/>
    <w:rsid w:val="2AC839CD"/>
    <w:rsid w:val="2AE511C6"/>
    <w:rsid w:val="2B202D9C"/>
    <w:rsid w:val="2B340DF8"/>
    <w:rsid w:val="2B3C432B"/>
    <w:rsid w:val="2B7E7E2F"/>
    <w:rsid w:val="2B8E045D"/>
    <w:rsid w:val="2B9E4E95"/>
    <w:rsid w:val="2BD05B6C"/>
    <w:rsid w:val="2BDA4EC5"/>
    <w:rsid w:val="2BEA4FEF"/>
    <w:rsid w:val="2C0C2BB0"/>
    <w:rsid w:val="2C1B6470"/>
    <w:rsid w:val="2C2D7AC9"/>
    <w:rsid w:val="2C637FBA"/>
    <w:rsid w:val="2C6977B3"/>
    <w:rsid w:val="2C6C1D60"/>
    <w:rsid w:val="2C6D1D1F"/>
    <w:rsid w:val="2C7333ED"/>
    <w:rsid w:val="2C7B52DF"/>
    <w:rsid w:val="2C973959"/>
    <w:rsid w:val="2CAA1021"/>
    <w:rsid w:val="2CCC406B"/>
    <w:rsid w:val="2CF32788"/>
    <w:rsid w:val="2D05617A"/>
    <w:rsid w:val="2D2B3004"/>
    <w:rsid w:val="2D542907"/>
    <w:rsid w:val="2D5F435B"/>
    <w:rsid w:val="2D674A93"/>
    <w:rsid w:val="2D806BCE"/>
    <w:rsid w:val="2DB727AB"/>
    <w:rsid w:val="2E052391"/>
    <w:rsid w:val="2E155AF3"/>
    <w:rsid w:val="2E50339B"/>
    <w:rsid w:val="2E6146F4"/>
    <w:rsid w:val="2E695F9D"/>
    <w:rsid w:val="2E843162"/>
    <w:rsid w:val="2E881939"/>
    <w:rsid w:val="2EB65429"/>
    <w:rsid w:val="2EBB5BB5"/>
    <w:rsid w:val="2EFF00AE"/>
    <w:rsid w:val="2F0B07D7"/>
    <w:rsid w:val="2F0E5E0A"/>
    <w:rsid w:val="2F2F4E88"/>
    <w:rsid w:val="2F732DEC"/>
    <w:rsid w:val="2F7377A9"/>
    <w:rsid w:val="2F783044"/>
    <w:rsid w:val="2F85333D"/>
    <w:rsid w:val="2F8E6B86"/>
    <w:rsid w:val="2FA947FC"/>
    <w:rsid w:val="2FAF4011"/>
    <w:rsid w:val="2FBD614E"/>
    <w:rsid w:val="2FC73D46"/>
    <w:rsid w:val="2FCA0306"/>
    <w:rsid w:val="2FCA1D68"/>
    <w:rsid w:val="2FE46629"/>
    <w:rsid w:val="2FF70792"/>
    <w:rsid w:val="30206E22"/>
    <w:rsid w:val="30865BF5"/>
    <w:rsid w:val="30C9143B"/>
    <w:rsid w:val="310A38BD"/>
    <w:rsid w:val="31315548"/>
    <w:rsid w:val="3139513B"/>
    <w:rsid w:val="314569E7"/>
    <w:rsid w:val="31652D0A"/>
    <w:rsid w:val="319313EC"/>
    <w:rsid w:val="31C206A5"/>
    <w:rsid w:val="31C427C3"/>
    <w:rsid w:val="31E42FAA"/>
    <w:rsid w:val="31FA4363"/>
    <w:rsid w:val="31FF7D2C"/>
    <w:rsid w:val="320D3782"/>
    <w:rsid w:val="32102D9B"/>
    <w:rsid w:val="321C59D0"/>
    <w:rsid w:val="322673BB"/>
    <w:rsid w:val="322C1FB1"/>
    <w:rsid w:val="322F746B"/>
    <w:rsid w:val="32337E9C"/>
    <w:rsid w:val="326C2B39"/>
    <w:rsid w:val="328B7FD4"/>
    <w:rsid w:val="328F698A"/>
    <w:rsid w:val="32917D93"/>
    <w:rsid w:val="32A02841"/>
    <w:rsid w:val="32AD6416"/>
    <w:rsid w:val="32BB234C"/>
    <w:rsid w:val="330B77DC"/>
    <w:rsid w:val="332C36C2"/>
    <w:rsid w:val="338F3B54"/>
    <w:rsid w:val="33B3428A"/>
    <w:rsid w:val="33C63F47"/>
    <w:rsid w:val="33CE7632"/>
    <w:rsid w:val="33D14D7A"/>
    <w:rsid w:val="33E34E94"/>
    <w:rsid w:val="33E81EDC"/>
    <w:rsid w:val="33F15FB7"/>
    <w:rsid w:val="34054F9F"/>
    <w:rsid w:val="340F28D6"/>
    <w:rsid w:val="343959A5"/>
    <w:rsid w:val="344B52EA"/>
    <w:rsid w:val="344C2C2E"/>
    <w:rsid w:val="344E5F7C"/>
    <w:rsid w:val="34532934"/>
    <w:rsid w:val="346959D5"/>
    <w:rsid w:val="349C3F5F"/>
    <w:rsid w:val="34AB0B5E"/>
    <w:rsid w:val="34B57C2E"/>
    <w:rsid w:val="34BB2AD1"/>
    <w:rsid w:val="34DE57BB"/>
    <w:rsid w:val="35190758"/>
    <w:rsid w:val="35451DB3"/>
    <w:rsid w:val="354E6FE1"/>
    <w:rsid w:val="355F5982"/>
    <w:rsid w:val="35677CD4"/>
    <w:rsid w:val="356847D5"/>
    <w:rsid w:val="35B0765B"/>
    <w:rsid w:val="35BE0DD8"/>
    <w:rsid w:val="35CB67F9"/>
    <w:rsid w:val="35DD7996"/>
    <w:rsid w:val="35DF1029"/>
    <w:rsid w:val="3606794B"/>
    <w:rsid w:val="361505D9"/>
    <w:rsid w:val="362236DB"/>
    <w:rsid w:val="363441B9"/>
    <w:rsid w:val="366D443A"/>
    <w:rsid w:val="36AB3791"/>
    <w:rsid w:val="36AD6CF9"/>
    <w:rsid w:val="36D56EB4"/>
    <w:rsid w:val="37042151"/>
    <w:rsid w:val="37087BA9"/>
    <w:rsid w:val="3735215A"/>
    <w:rsid w:val="373B0FE3"/>
    <w:rsid w:val="375C069F"/>
    <w:rsid w:val="376D0A8E"/>
    <w:rsid w:val="376D590C"/>
    <w:rsid w:val="3779375D"/>
    <w:rsid w:val="379C494F"/>
    <w:rsid w:val="37A1589A"/>
    <w:rsid w:val="37AC4584"/>
    <w:rsid w:val="37B50852"/>
    <w:rsid w:val="37BA6F84"/>
    <w:rsid w:val="37BD7022"/>
    <w:rsid w:val="37D601A1"/>
    <w:rsid w:val="37E938A9"/>
    <w:rsid w:val="37F00683"/>
    <w:rsid w:val="37F21389"/>
    <w:rsid w:val="38026AB5"/>
    <w:rsid w:val="38092246"/>
    <w:rsid w:val="38327946"/>
    <w:rsid w:val="38573416"/>
    <w:rsid w:val="38630601"/>
    <w:rsid w:val="3887313F"/>
    <w:rsid w:val="389A10E9"/>
    <w:rsid w:val="389C1F25"/>
    <w:rsid w:val="38B00A92"/>
    <w:rsid w:val="38B94D9F"/>
    <w:rsid w:val="38C51C58"/>
    <w:rsid w:val="38E51898"/>
    <w:rsid w:val="38E802CF"/>
    <w:rsid w:val="391D2D4E"/>
    <w:rsid w:val="39621DA8"/>
    <w:rsid w:val="3987274D"/>
    <w:rsid w:val="399E785A"/>
    <w:rsid w:val="39AB72CE"/>
    <w:rsid w:val="39B568B6"/>
    <w:rsid w:val="39EC755F"/>
    <w:rsid w:val="3A465827"/>
    <w:rsid w:val="3A551776"/>
    <w:rsid w:val="3A717EF2"/>
    <w:rsid w:val="3A757C98"/>
    <w:rsid w:val="3A91002B"/>
    <w:rsid w:val="3A97265E"/>
    <w:rsid w:val="3AA572C6"/>
    <w:rsid w:val="3AC64B52"/>
    <w:rsid w:val="3ACC64CA"/>
    <w:rsid w:val="3AD94FBC"/>
    <w:rsid w:val="3B08325E"/>
    <w:rsid w:val="3BA86612"/>
    <w:rsid w:val="3BCC70EE"/>
    <w:rsid w:val="3BD636A2"/>
    <w:rsid w:val="3BE039E9"/>
    <w:rsid w:val="3BE606A8"/>
    <w:rsid w:val="3BF37A39"/>
    <w:rsid w:val="3BF86F50"/>
    <w:rsid w:val="3C2C09A4"/>
    <w:rsid w:val="3C3770A6"/>
    <w:rsid w:val="3C39019E"/>
    <w:rsid w:val="3C5112D9"/>
    <w:rsid w:val="3C6E63BD"/>
    <w:rsid w:val="3C75607E"/>
    <w:rsid w:val="3C8241EA"/>
    <w:rsid w:val="3C8346F7"/>
    <w:rsid w:val="3C9E4A07"/>
    <w:rsid w:val="3CDB42B4"/>
    <w:rsid w:val="3CE34FC3"/>
    <w:rsid w:val="3D025E52"/>
    <w:rsid w:val="3D0E0E53"/>
    <w:rsid w:val="3D0E2A11"/>
    <w:rsid w:val="3D2A00CF"/>
    <w:rsid w:val="3D69693B"/>
    <w:rsid w:val="3D726995"/>
    <w:rsid w:val="3D7B7EF8"/>
    <w:rsid w:val="3D917AA7"/>
    <w:rsid w:val="3D9534A1"/>
    <w:rsid w:val="3D962143"/>
    <w:rsid w:val="3D9E582C"/>
    <w:rsid w:val="3DAD1420"/>
    <w:rsid w:val="3DB23B1E"/>
    <w:rsid w:val="3DD34633"/>
    <w:rsid w:val="3E0A3B84"/>
    <w:rsid w:val="3E2F042D"/>
    <w:rsid w:val="3E337755"/>
    <w:rsid w:val="3E562804"/>
    <w:rsid w:val="3E61095D"/>
    <w:rsid w:val="3EDA69A5"/>
    <w:rsid w:val="3F00172A"/>
    <w:rsid w:val="3F322ABD"/>
    <w:rsid w:val="3F3E2F5A"/>
    <w:rsid w:val="3F437813"/>
    <w:rsid w:val="3F5021A7"/>
    <w:rsid w:val="3F7569A8"/>
    <w:rsid w:val="3F7F1597"/>
    <w:rsid w:val="3FAA340F"/>
    <w:rsid w:val="3FAE2C5A"/>
    <w:rsid w:val="3FCA4DC2"/>
    <w:rsid w:val="3FDA200E"/>
    <w:rsid w:val="3FFA0A85"/>
    <w:rsid w:val="400F234B"/>
    <w:rsid w:val="40496550"/>
    <w:rsid w:val="40635C61"/>
    <w:rsid w:val="4064067B"/>
    <w:rsid w:val="40673D94"/>
    <w:rsid w:val="407D28D8"/>
    <w:rsid w:val="40AC1A74"/>
    <w:rsid w:val="41053190"/>
    <w:rsid w:val="410A4B18"/>
    <w:rsid w:val="41323357"/>
    <w:rsid w:val="41370B5D"/>
    <w:rsid w:val="415B182B"/>
    <w:rsid w:val="41823A74"/>
    <w:rsid w:val="418B25E0"/>
    <w:rsid w:val="4191513E"/>
    <w:rsid w:val="4195543C"/>
    <w:rsid w:val="41C92BFD"/>
    <w:rsid w:val="41E64E46"/>
    <w:rsid w:val="41E94E80"/>
    <w:rsid w:val="41F90481"/>
    <w:rsid w:val="41F91044"/>
    <w:rsid w:val="423A256E"/>
    <w:rsid w:val="423C79BA"/>
    <w:rsid w:val="42A02A57"/>
    <w:rsid w:val="42A759E6"/>
    <w:rsid w:val="42F03C98"/>
    <w:rsid w:val="42F23B6A"/>
    <w:rsid w:val="42F53E45"/>
    <w:rsid w:val="43283AB1"/>
    <w:rsid w:val="43422397"/>
    <w:rsid w:val="43614501"/>
    <w:rsid w:val="43645350"/>
    <w:rsid w:val="436E7720"/>
    <w:rsid w:val="43713275"/>
    <w:rsid w:val="43842987"/>
    <w:rsid w:val="43C77A93"/>
    <w:rsid w:val="43D85DDD"/>
    <w:rsid w:val="43FC7A44"/>
    <w:rsid w:val="440B447C"/>
    <w:rsid w:val="4429210D"/>
    <w:rsid w:val="44367206"/>
    <w:rsid w:val="443D7690"/>
    <w:rsid w:val="446550B0"/>
    <w:rsid w:val="44853261"/>
    <w:rsid w:val="4488047D"/>
    <w:rsid w:val="449C6D06"/>
    <w:rsid w:val="44B63040"/>
    <w:rsid w:val="44FE3267"/>
    <w:rsid w:val="45053834"/>
    <w:rsid w:val="45232356"/>
    <w:rsid w:val="45493E5E"/>
    <w:rsid w:val="4566725B"/>
    <w:rsid w:val="45782434"/>
    <w:rsid w:val="45924E81"/>
    <w:rsid w:val="45BC6C44"/>
    <w:rsid w:val="45FD1F65"/>
    <w:rsid w:val="4609688D"/>
    <w:rsid w:val="461040F3"/>
    <w:rsid w:val="46131936"/>
    <w:rsid w:val="46332B5B"/>
    <w:rsid w:val="46377577"/>
    <w:rsid w:val="463A0F4A"/>
    <w:rsid w:val="46664FB4"/>
    <w:rsid w:val="46734981"/>
    <w:rsid w:val="467E6C08"/>
    <w:rsid w:val="46847094"/>
    <w:rsid w:val="46A93DBF"/>
    <w:rsid w:val="46BB38D4"/>
    <w:rsid w:val="46BD16E5"/>
    <w:rsid w:val="46C64C19"/>
    <w:rsid w:val="470112B0"/>
    <w:rsid w:val="47092DFD"/>
    <w:rsid w:val="472D7211"/>
    <w:rsid w:val="473D627B"/>
    <w:rsid w:val="475E764D"/>
    <w:rsid w:val="47951769"/>
    <w:rsid w:val="47C87ABD"/>
    <w:rsid w:val="47DE53B5"/>
    <w:rsid w:val="47EE2EBC"/>
    <w:rsid w:val="48022A4C"/>
    <w:rsid w:val="4812680D"/>
    <w:rsid w:val="482B241D"/>
    <w:rsid w:val="483741C5"/>
    <w:rsid w:val="486C318C"/>
    <w:rsid w:val="4880406A"/>
    <w:rsid w:val="48956FA5"/>
    <w:rsid w:val="48CE4457"/>
    <w:rsid w:val="48CF30C3"/>
    <w:rsid w:val="48E60456"/>
    <w:rsid w:val="48E755B9"/>
    <w:rsid w:val="48F271AF"/>
    <w:rsid w:val="48FC35DC"/>
    <w:rsid w:val="49025500"/>
    <w:rsid w:val="493C56B3"/>
    <w:rsid w:val="49A868C9"/>
    <w:rsid w:val="49D55CF3"/>
    <w:rsid w:val="49D718BC"/>
    <w:rsid w:val="49DF02ED"/>
    <w:rsid w:val="49FB1457"/>
    <w:rsid w:val="49FE7611"/>
    <w:rsid w:val="4A5F0E6F"/>
    <w:rsid w:val="4A756042"/>
    <w:rsid w:val="4A936B63"/>
    <w:rsid w:val="4AA5296F"/>
    <w:rsid w:val="4AA94EC7"/>
    <w:rsid w:val="4AB77D52"/>
    <w:rsid w:val="4AB8043F"/>
    <w:rsid w:val="4ACD5A7F"/>
    <w:rsid w:val="4B5E238F"/>
    <w:rsid w:val="4B6263C2"/>
    <w:rsid w:val="4B815834"/>
    <w:rsid w:val="4BB14455"/>
    <w:rsid w:val="4BBC14A3"/>
    <w:rsid w:val="4BE97D91"/>
    <w:rsid w:val="4BF42470"/>
    <w:rsid w:val="4BFE3AF3"/>
    <w:rsid w:val="4C050E13"/>
    <w:rsid w:val="4C0C6117"/>
    <w:rsid w:val="4C2F1A5F"/>
    <w:rsid w:val="4C484FA1"/>
    <w:rsid w:val="4C54472B"/>
    <w:rsid w:val="4C6D10F9"/>
    <w:rsid w:val="4CA84BBB"/>
    <w:rsid w:val="4CBD1404"/>
    <w:rsid w:val="4D785271"/>
    <w:rsid w:val="4D83419E"/>
    <w:rsid w:val="4D9A4550"/>
    <w:rsid w:val="4DCA5477"/>
    <w:rsid w:val="4E4C6A8E"/>
    <w:rsid w:val="4E736BE5"/>
    <w:rsid w:val="4E84033C"/>
    <w:rsid w:val="4E951FD9"/>
    <w:rsid w:val="4E9A7F0B"/>
    <w:rsid w:val="4E9B2100"/>
    <w:rsid w:val="4EAD7A19"/>
    <w:rsid w:val="4EBF632E"/>
    <w:rsid w:val="4EDF67E2"/>
    <w:rsid w:val="4F2545E5"/>
    <w:rsid w:val="4F285264"/>
    <w:rsid w:val="4F292BBD"/>
    <w:rsid w:val="4F417126"/>
    <w:rsid w:val="4F496318"/>
    <w:rsid w:val="4F641F10"/>
    <w:rsid w:val="4F7C07DC"/>
    <w:rsid w:val="4F910281"/>
    <w:rsid w:val="4F933A75"/>
    <w:rsid w:val="4FE14CF3"/>
    <w:rsid w:val="4FF47CC5"/>
    <w:rsid w:val="50194B8A"/>
    <w:rsid w:val="50A06B3D"/>
    <w:rsid w:val="50FA223C"/>
    <w:rsid w:val="5138021A"/>
    <w:rsid w:val="514B344C"/>
    <w:rsid w:val="514B6D42"/>
    <w:rsid w:val="51567DA0"/>
    <w:rsid w:val="51621E4B"/>
    <w:rsid w:val="5184373E"/>
    <w:rsid w:val="51A14378"/>
    <w:rsid w:val="51AE733D"/>
    <w:rsid w:val="51B44429"/>
    <w:rsid w:val="51B77912"/>
    <w:rsid w:val="51BC40C3"/>
    <w:rsid w:val="51C53B7D"/>
    <w:rsid w:val="51C93094"/>
    <w:rsid w:val="51CF15B6"/>
    <w:rsid w:val="51D802A6"/>
    <w:rsid w:val="51FE279B"/>
    <w:rsid w:val="52092025"/>
    <w:rsid w:val="523D0B88"/>
    <w:rsid w:val="523E0209"/>
    <w:rsid w:val="525C61DE"/>
    <w:rsid w:val="526430C3"/>
    <w:rsid w:val="52A84D7F"/>
    <w:rsid w:val="52BF0283"/>
    <w:rsid w:val="52C30515"/>
    <w:rsid w:val="52E02084"/>
    <w:rsid w:val="52E62626"/>
    <w:rsid w:val="52F13A70"/>
    <w:rsid w:val="53070CD7"/>
    <w:rsid w:val="53271871"/>
    <w:rsid w:val="532A198F"/>
    <w:rsid w:val="533A3B12"/>
    <w:rsid w:val="53A54833"/>
    <w:rsid w:val="53CE351F"/>
    <w:rsid w:val="53E0271C"/>
    <w:rsid w:val="54246D30"/>
    <w:rsid w:val="5455014A"/>
    <w:rsid w:val="549E3DC3"/>
    <w:rsid w:val="54B71E2E"/>
    <w:rsid w:val="54BB38B1"/>
    <w:rsid w:val="54D10110"/>
    <w:rsid w:val="54D52947"/>
    <w:rsid w:val="54E847D8"/>
    <w:rsid w:val="54F63D94"/>
    <w:rsid w:val="54F93C98"/>
    <w:rsid w:val="55183DF0"/>
    <w:rsid w:val="551F0054"/>
    <w:rsid w:val="55253CD7"/>
    <w:rsid w:val="554F31C2"/>
    <w:rsid w:val="555B31A5"/>
    <w:rsid w:val="55777C9A"/>
    <w:rsid w:val="55A018CD"/>
    <w:rsid w:val="55D84E31"/>
    <w:rsid w:val="55DD6B94"/>
    <w:rsid w:val="55E22F2E"/>
    <w:rsid w:val="55E747B0"/>
    <w:rsid w:val="55FA67A4"/>
    <w:rsid w:val="55FF083F"/>
    <w:rsid w:val="56085346"/>
    <w:rsid w:val="561C0DCE"/>
    <w:rsid w:val="563E73AF"/>
    <w:rsid w:val="5644189C"/>
    <w:rsid w:val="56593155"/>
    <w:rsid w:val="56684D4E"/>
    <w:rsid w:val="567555E5"/>
    <w:rsid w:val="56B55219"/>
    <w:rsid w:val="56F7229B"/>
    <w:rsid w:val="57056DED"/>
    <w:rsid w:val="57237CAF"/>
    <w:rsid w:val="572977C5"/>
    <w:rsid w:val="5734077F"/>
    <w:rsid w:val="574859FD"/>
    <w:rsid w:val="57593A7F"/>
    <w:rsid w:val="57826343"/>
    <w:rsid w:val="578F7FC6"/>
    <w:rsid w:val="57A90C0A"/>
    <w:rsid w:val="57AB5304"/>
    <w:rsid w:val="57AE51B6"/>
    <w:rsid w:val="57B86370"/>
    <w:rsid w:val="57BB65B8"/>
    <w:rsid w:val="57CA61DC"/>
    <w:rsid w:val="57D26BDB"/>
    <w:rsid w:val="57E12D79"/>
    <w:rsid w:val="57F560BA"/>
    <w:rsid w:val="580819D7"/>
    <w:rsid w:val="580A2872"/>
    <w:rsid w:val="580F4A7E"/>
    <w:rsid w:val="582B2F29"/>
    <w:rsid w:val="582F19E1"/>
    <w:rsid w:val="58480E6D"/>
    <w:rsid w:val="586D560A"/>
    <w:rsid w:val="586E7E9F"/>
    <w:rsid w:val="5882278E"/>
    <w:rsid w:val="588E4096"/>
    <w:rsid w:val="58D80CD4"/>
    <w:rsid w:val="58E91F9B"/>
    <w:rsid w:val="59021658"/>
    <w:rsid w:val="59124E8C"/>
    <w:rsid w:val="59171380"/>
    <w:rsid w:val="59771869"/>
    <w:rsid w:val="597C7A75"/>
    <w:rsid w:val="597D5408"/>
    <w:rsid w:val="59ED2995"/>
    <w:rsid w:val="59F8349D"/>
    <w:rsid w:val="5A13473F"/>
    <w:rsid w:val="5A236743"/>
    <w:rsid w:val="5A34068E"/>
    <w:rsid w:val="5A6C27A5"/>
    <w:rsid w:val="5A8A09A9"/>
    <w:rsid w:val="5AAA1FA7"/>
    <w:rsid w:val="5ABC3194"/>
    <w:rsid w:val="5B3D64DE"/>
    <w:rsid w:val="5B472EEC"/>
    <w:rsid w:val="5B690896"/>
    <w:rsid w:val="5B6A074B"/>
    <w:rsid w:val="5BA866D5"/>
    <w:rsid w:val="5BB11004"/>
    <w:rsid w:val="5BB40D3A"/>
    <w:rsid w:val="5BD71960"/>
    <w:rsid w:val="5C010BB2"/>
    <w:rsid w:val="5C1F7E68"/>
    <w:rsid w:val="5C58576A"/>
    <w:rsid w:val="5C5B1A94"/>
    <w:rsid w:val="5C860052"/>
    <w:rsid w:val="5C8B3814"/>
    <w:rsid w:val="5CAB4C43"/>
    <w:rsid w:val="5CCC7E64"/>
    <w:rsid w:val="5D516110"/>
    <w:rsid w:val="5D5164BB"/>
    <w:rsid w:val="5D56776C"/>
    <w:rsid w:val="5D570380"/>
    <w:rsid w:val="5D5A5D91"/>
    <w:rsid w:val="5D5E5BA8"/>
    <w:rsid w:val="5D9C1CCC"/>
    <w:rsid w:val="5DB108D4"/>
    <w:rsid w:val="5DC878E9"/>
    <w:rsid w:val="5E087C9C"/>
    <w:rsid w:val="5E1223E6"/>
    <w:rsid w:val="5E176498"/>
    <w:rsid w:val="5E207642"/>
    <w:rsid w:val="5E331098"/>
    <w:rsid w:val="5E464991"/>
    <w:rsid w:val="5E547D91"/>
    <w:rsid w:val="5E5E5953"/>
    <w:rsid w:val="5E7C1F66"/>
    <w:rsid w:val="5EA71239"/>
    <w:rsid w:val="5EB7244E"/>
    <w:rsid w:val="5F06357D"/>
    <w:rsid w:val="5F1F3C04"/>
    <w:rsid w:val="5F3865A0"/>
    <w:rsid w:val="5F4D71AA"/>
    <w:rsid w:val="5F4E1E47"/>
    <w:rsid w:val="5F676BF6"/>
    <w:rsid w:val="5F8914DA"/>
    <w:rsid w:val="5F8C2AAE"/>
    <w:rsid w:val="5F9463C5"/>
    <w:rsid w:val="5FBA0E2F"/>
    <w:rsid w:val="5FBE5FAE"/>
    <w:rsid w:val="5FD40414"/>
    <w:rsid w:val="5FF565FB"/>
    <w:rsid w:val="5FFD225A"/>
    <w:rsid w:val="600503F1"/>
    <w:rsid w:val="603D5C10"/>
    <w:rsid w:val="6049662E"/>
    <w:rsid w:val="604C7112"/>
    <w:rsid w:val="605C77E1"/>
    <w:rsid w:val="605D7D5D"/>
    <w:rsid w:val="60614921"/>
    <w:rsid w:val="60665833"/>
    <w:rsid w:val="60733222"/>
    <w:rsid w:val="609943B5"/>
    <w:rsid w:val="60D134F8"/>
    <w:rsid w:val="60EA0590"/>
    <w:rsid w:val="610F32D5"/>
    <w:rsid w:val="6113773D"/>
    <w:rsid w:val="61165242"/>
    <w:rsid w:val="613E5010"/>
    <w:rsid w:val="616F1F5D"/>
    <w:rsid w:val="619E02A0"/>
    <w:rsid w:val="61B60FAC"/>
    <w:rsid w:val="61BB6148"/>
    <w:rsid w:val="61D2012A"/>
    <w:rsid w:val="61D7544B"/>
    <w:rsid w:val="61E81715"/>
    <w:rsid w:val="61EB6BFE"/>
    <w:rsid w:val="61EF328F"/>
    <w:rsid w:val="61FB147B"/>
    <w:rsid w:val="622D347D"/>
    <w:rsid w:val="62526539"/>
    <w:rsid w:val="62691DA9"/>
    <w:rsid w:val="627F7288"/>
    <w:rsid w:val="62883B08"/>
    <w:rsid w:val="62884A08"/>
    <w:rsid w:val="62C75004"/>
    <w:rsid w:val="62F872F5"/>
    <w:rsid w:val="631070A6"/>
    <w:rsid w:val="63480388"/>
    <w:rsid w:val="634B3203"/>
    <w:rsid w:val="63710F68"/>
    <w:rsid w:val="637C7BE1"/>
    <w:rsid w:val="639C46CD"/>
    <w:rsid w:val="63BB78D5"/>
    <w:rsid w:val="63D40F48"/>
    <w:rsid w:val="63D62CF0"/>
    <w:rsid w:val="63FE0844"/>
    <w:rsid w:val="64087BE4"/>
    <w:rsid w:val="640B1A4B"/>
    <w:rsid w:val="6418408E"/>
    <w:rsid w:val="64193412"/>
    <w:rsid w:val="642273CB"/>
    <w:rsid w:val="64271145"/>
    <w:rsid w:val="643F450E"/>
    <w:rsid w:val="64407CE2"/>
    <w:rsid w:val="645C1C96"/>
    <w:rsid w:val="64614CC6"/>
    <w:rsid w:val="646F04FA"/>
    <w:rsid w:val="64B60248"/>
    <w:rsid w:val="64E53851"/>
    <w:rsid w:val="64F64546"/>
    <w:rsid w:val="652F2B60"/>
    <w:rsid w:val="653B23B6"/>
    <w:rsid w:val="655D1DC3"/>
    <w:rsid w:val="6560276A"/>
    <w:rsid w:val="656D7FDE"/>
    <w:rsid w:val="65707C0C"/>
    <w:rsid w:val="658B0063"/>
    <w:rsid w:val="658C1177"/>
    <w:rsid w:val="659C5C4E"/>
    <w:rsid w:val="65AE758C"/>
    <w:rsid w:val="65C2604E"/>
    <w:rsid w:val="65C95290"/>
    <w:rsid w:val="65F532EF"/>
    <w:rsid w:val="66175497"/>
    <w:rsid w:val="66266C01"/>
    <w:rsid w:val="662D68C5"/>
    <w:rsid w:val="6648430B"/>
    <w:rsid w:val="6658705E"/>
    <w:rsid w:val="666B2E02"/>
    <w:rsid w:val="66A84D79"/>
    <w:rsid w:val="66BE229C"/>
    <w:rsid w:val="66D10F1F"/>
    <w:rsid w:val="67556577"/>
    <w:rsid w:val="676E47BE"/>
    <w:rsid w:val="677E4839"/>
    <w:rsid w:val="678F655E"/>
    <w:rsid w:val="679644BB"/>
    <w:rsid w:val="67970111"/>
    <w:rsid w:val="67C15A78"/>
    <w:rsid w:val="67C34155"/>
    <w:rsid w:val="67C41B99"/>
    <w:rsid w:val="68162045"/>
    <w:rsid w:val="686E1C0F"/>
    <w:rsid w:val="68881B3C"/>
    <w:rsid w:val="688A2F9D"/>
    <w:rsid w:val="689A2612"/>
    <w:rsid w:val="689B281D"/>
    <w:rsid w:val="689D6D7C"/>
    <w:rsid w:val="694A266B"/>
    <w:rsid w:val="694E6805"/>
    <w:rsid w:val="69543503"/>
    <w:rsid w:val="698B232C"/>
    <w:rsid w:val="698F566F"/>
    <w:rsid w:val="699328CB"/>
    <w:rsid w:val="69A810BE"/>
    <w:rsid w:val="69BB1856"/>
    <w:rsid w:val="69F13002"/>
    <w:rsid w:val="6A5A2D45"/>
    <w:rsid w:val="6A610DC0"/>
    <w:rsid w:val="6AD5611C"/>
    <w:rsid w:val="6AD945B9"/>
    <w:rsid w:val="6B1C5C1F"/>
    <w:rsid w:val="6B425669"/>
    <w:rsid w:val="6B692127"/>
    <w:rsid w:val="6BA253FD"/>
    <w:rsid w:val="6BBD4D59"/>
    <w:rsid w:val="6BD05254"/>
    <w:rsid w:val="6BF60F9D"/>
    <w:rsid w:val="6C182BBA"/>
    <w:rsid w:val="6C207066"/>
    <w:rsid w:val="6C2F2043"/>
    <w:rsid w:val="6C585306"/>
    <w:rsid w:val="6C62215E"/>
    <w:rsid w:val="6C974ED9"/>
    <w:rsid w:val="6C985B0C"/>
    <w:rsid w:val="6C9F4B9F"/>
    <w:rsid w:val="6D0575D8"/>
    <w:rsid w:val="6D1459B0"/>
    <w:rsid w:val="6D17218C"/>
    <w:rsid w:val="6D264851"/>
    <w:rsid w:val="6D301459"/>
    <w:rsid w:val="6D332837"/>
    <w:rsid w:val="6D4A7A35"/>
    <w:rsid w:val="6D5F4EA1"/>
    <w:rsid w:val="6D635F77"/>
    <w:rsid w:val="6D7148A9"/>
    <w:rsid w:val="6D8D796D"/>
    <w:rsid w:val="6D915259"/>
    <w:rsid w:val="6DE00C5B"/>
    <w:rsid w:val="6DF1551D"/>
    <w:rsid w:val="6DFF621E"/>
    <w:rsid w:val="6E176849"/>
    <w:rsid w:val="6EB37B52"/>
    <w:rsid w:val="6EB405F3"/>
    <w:rsid w:val="6EBC7E74"/>
    <w:rsid w:val="6ED97510"/>
    <w:rsid w:val="6EF32DA3"/>
    <w:rsid w:val="6F2702C7"/>
    <w:rsid w:val="6F2E0F00"/>
    <w:rsid w:val="6F414036"/>
    <w:rsid w:val="6F726515"/>
    <w:rsid w:val="6F9034D6"/>
    <w:rsid w:val="6FCF3750"/>
    <w:rsid w:val="6FD40214"/>
    <w:rsid w:val="6FD51482"/>
    <w:rsid w:val="6FD635E0"/>
    <w:rsid w:val="700D790B"/>
    <w:rsid w:val="702C4C6E"/>
    <w:rsid w:val="70437364"/>
    <w:rsid w:val="70527C4A"/>
    <w:rsid w:val="70A56195"/>
    <w:rsid w:val="70EF61AF"/>
    <w:rsid w:val="711025F4"/>
    <w:rsid w:val="7150761A"/>
    <w:rsid w:val="717A009A"/>
    <w:rsid w:val="71861403"/>
    <w:rsid w:val="71995C18"/>
    <w:rsid w:val="71B947A8"/>
    <w:rsid w:val="71BE6E08"/>
    <w:rsid w:val="71C97FD8"/>
    <w:rsid w:val="71CD06CC"/>
    <w:rsid w:val="71D81E8C"/>
    <w:rsid w:val="7243688F"/>
    <w:rsid w:val="7258649C"/>
    <w:rsid w:val="72887268"/>
    <w:rsid w:val="72B872C2"/>
    <w:rsid w:val="72BC367C"/>
    <w:rsid w:val="72D3510B"/>
    <w:rsid w:val="72DB48F8"/>
    <w:rsid w:val="72E11E42"/>
    <w:rsid w:val="72F936D4"/>
    <w:rsid w:val="73114B40"/>
    <w:rsid w:val="73436AC1"/>
    <w:rsid w:val="73636E4E"/>
    <w:rsid w:val="736F4A7D"/>
    <w:rsid w:val="73A80142"/>
    <w:rsid w:val="73C81265"/>
    <w:rsid w:val="73F479DB"/>
    <w:rsid w:val="73FE7F1D"/>
    <w:rsid w:val="742E389B"/>
    <w:rsid w:val="743D1D3C"/>
    <w:rsid w:val="74477661"/>
    <w:rsid w:val="744C6285"/>
    <w:rsid w:val="745C4610"/>
    <w:rsid w:val="74750D22"/>
    <w:rsid w:val="74892917"/>
    <w:rsid w:val="74D742E9"/>
    <w:rsid w:val="74FC7A0E"/>
    <w:rsid w:val="751F08E0"/>
    <w:rsid w:val="753F3393"/>
    <w:rsid w:val="754F562C"/>
    <w:rsid w:val="756E1A25"/>
    <w:rsid w:val="757463AC"/>
    <w:rsid w:val="758C3456"/>
    <w:rsid w:val="759D7E02"/>
    <w:rsid w:val="75C72000"/>
    <w:rsid w:val="75D67B4C"/>
    <w:rsid w:val="760D20E9"/>
    <w:rsid w:val="7632703C"/>
    <w:rsid w:val="76585098"/>
    <w:rsid w:val="7699669E"/>
    <w:rsid w:val="76C27E17"/>
    <w:rsid w:val="76C51DE5"/>
    <w:rsid w:val="771C563E"/>
    <w:rsid w:val="773E3F95"/>
    <w:rsid w:val="775B6FC9"/>
    <w:rsid w:val="77664746"/>
    <w:rsid w:val="777C6A2C"/>
    <w:rsid w:val="777D2A3C"/>
    <w:rsid w:val="777D509D"/>
    <w:rsid w:val="778E19A6"/>
    <w:rsid w:val="77C0091D"/>
    <w:rsid w:val="77D16AF8"/>
    <w:rsid w:val="78026F60"/>
    <w:rsid w:val="782C6142"/>
    <w:rsid w:val="783F3299"/>
    <w:rsid w:val="784B0F60"/>
    <w:rsid w:val="785223B5"/>
    <w:rsid w:val="78781AE4"/>
    <w:rsid w:val="788062E5"/>
    <w:rsid w:val="78BF6E30"/>
    <w:rsid w:val="790D3556"/>
    <w:rsid w:val="792703E5"/>
    <w:rsid w:val="79330768"/>
    <w:rsid w:val="79365AFB"/>
    <w:rsid w:val="797A09B0"/>
    <w:rsid w:val="797C56AA"/>
    <w:rsid w:val="79AA73EC"/>
    <w:rsid w:val="79DA180C"/>
    <w:rsid w:val="79DC7A1E"/>
    <w:rsid w:val="79E64C6C"/>
    <w:rsid w:val="79EA3A1D"/>
    <w:rsid w:val="7A3C4B87"/>
    <w:rsid w:val="7A5A2269"/>
    <w:rsid w:val="7A5F00FB"/>
    <w:rsid w:val="7A6A5494"/>
    <w:rsid w:val="7A7E04EC"/>
    <w:rsid w:val="7A8C4A09"/>
    <w:rsid w:val="7A962863"/>
    <w:rsid w:val="7AA3618B"/>
    <w:rsid w:val="7AD741B5"/>
    <w:rsid w:val="7AE541D0"/>
    <w:rsid w:val="7AED34D9"/>
    <w:rsid w:val="7B057EDC"/>
    <w:rsid w:val="7B0F4D92"/>
    <w:rsid w:val="7B29222C"/>
    <w:rsid w:val="7B2D640D"/>
    <w:rsid w:val="7B302E39"/>
    <w:rsid w:val="7B4345FB"/>
    <w:rsid w:val="7B445795"/>
    <w:rsid w:val="7B654F9B"/>
    <w:rsid w:val="7B792097"/>
    <w:rsid w:val="7B9454D1"/>
    <w:rsid w:val="7BAB6673"/>
    <w:rsid w:val="7BAD6F50"/>
    <w:rsid w:val="7BD061E4"/>
    <w:rsid w:val="7BD7458C"/>
    <w:rsid w:val="7BD749B1"/>
    <w:rsid w:val="7BD8371D"/>
    <w:rsid w:val="7BD947DB"/>
    <w:rsid w:val="7C0110F6"/>
    <w:rsid w:val="7C347892"/>
    <w:rsid w:val="7C436B54"/>
    <w:rsid w:val="7C5F0C43"/>
    <w:rsid w:val="7C6B663D"/>
    <w:rsid w:val="7C965A18"/>
    <w:rsid w:val="7C976FDA"/>
    <w:rsid w:val="7CA90560"/>
    <w:rsid w:val="7CB94AFB"/>
    <w:rsid w:val="7CC66DB2"/>
    <w:rsid w:val="7CCD26B8"/>
    <w:rsid w:val="7CED5E6A"/>
    <w:rsid w:val="7D0A64D3"/>
    <w:rsid w:val="7D3D1166"/>
    <w:rsid w:val="7D695345"/>
    <w:rsid w:val="7D7806C1"/>
    <w:rsid w:val="7D7A4E3E"/>
    <w:rsid w:val="7D930AC1"/>
    <w:rsid w:val="7DD91C34"/>
    <w:rsid w:val="7DDC6AA9"/>
    <w:rsid w:val="7DEB68B3"/>
    <w:rsid w:val="7DEB7247"/>
    <w:rsid w:val="7DF16A73"/>
    <w:rsid w:val="7E197824"/>
    <w:rsid w:val="7E270155"/>
    <w:rsid w:val="7E282D22"/>
    <w:rsid w:val="7E470636"/>
    <w:rsid w:val="7E4A3ACD"/>
    <w:rsid w:val="7EA30B04"/>
    <w:rsid w:val="7EB4408A"/>
    <w:rsid w:val="7EB52093"/>
    <w:rsid w:val="7EC35F7A"/>
    <w:rsid w:val="7EF20188"/>
    <w:rsid w:val="7EFE5B11"/>
    <w:rsid w:val="7F071652"/>
    <w:rsid w:val="7F40378C"/>
    <w:rsid w:val="7F8053F5"/>
    <w:rsid w:val="7F862329"/>
    <w:rsid w:val="7F8C1507"/>
    <w:rsid w:val="7F977B6C"/>
    <w:rsid w:val="7FA273E8"/>
    <w:rsid w:val="7FD01DA5"/>
    <w:rsid w:val="7FD2592A"/>
    <w:rsid w:val="7FE80D12"/>
    <w:rsid w:val="7FF127E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allout" idref="#_x0000_s1026"/>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10">
    <w:name w:val="Default Paragraph Font"/>
    <w:semiHidden/>
    <w:unhideWhenUsed/>
    <w:uiPriority w:val="1"/>
  </w:style>
  <w:style w:type="table" w:default="1" w:styleId="11">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w:basedOn w:val="1"/>
    <w:qFormat/>
    <w:uiPriority w:val="0"/>
    <w:pPr>
      <w:tabs>
        <w:tab w:val="left" w:pos="3600"/>
      </w:tabs>
      <w:spacing w:line="440" w:lineRule="atLeast"/>
    </w:pPr>
    <w:rPr>
      <w:sz w:val="28"/>
    </w:rPr>
  </w:style>
  <w:style w:type="paragraph" w:styleId="3">
    <w:name w:val="Body Text Indent"/>
    <w:basedOn w:val="1"/>
    <w:qFormat/>
    <w:uiPriority w:val="0"/>
    <w:pPr>
      <w:tabs>
        <w:tab w:val="left" w:pos="3600"/>
      </w:tabs>
      <w:spacing w:line="440" w:lineRule="atLeast"/>
      <w:ind w:firstLine="480" w:firstLineChars="200"/>
    </w:pPr>
    <w:rPr>
      <w:sz w:val="20"/>
    </w:rPr>
  </w:style>
  <w:style w:type="paragraph" w:styleId="4">
    <w:name w:val="toc 3"/>
    <w:basedOn w:val="1"/>
    <w:next w:val="1"/>
    <w:qFormat/>
    <w:uiPriority w:val="0"/>
    <w:pPr>
      <w:ind w:left="840" w:leftChars="400"/>
    </w:pPr>
  </w:style>
  <w:style w:type="paragraph" w:styleId="5">
    <w:name w:val="Balloon Text"/>
    <w:basedOn w:val="1"/>
    <w:link w:val="15"/>
    <w:uiPriority w:val="0"/>
    <w:rPr>
      <w:sz w:val="18"/>
      <w:szCs w:val="18"/>
    </w:r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toc 1"/>
    <w:basedOn w:val="1"/>
    <w:next w:val="1"/>
    <w:qFormat/>
    <w:uiPriority w:val="0"/>
  </w:style>
  <w:style w:type="paragraph" w:styleId="9">
    <w:name w:val="toc 2"/>
    <w:basedOn w:val="1"/>
    <w:next w:val="1"/>
    <w:qFormat/>
    <w:uiPriority w:val="0"/>
    <w:pPr>
      <w:ind w:left="420" w:leftChars="200"/>
    </w:p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customStyle="1" w:styleId="13">
    <w:name w:val="Default"/>
    <w:unhideWhenUsed/>
    <w:qFormat/>
    <w:uiPriority w:val="99"/>
    <w:pPr>
      <w:widowControl w:val="0"/>
      <w:autoSpaceDE w:val="0"/>
      <w:autoSpaceDN w:val="0"/>
      <w:adjustRightInd w:val="0"/>
    </w:pPr>
    <w:rPr>
      <w:rFonts w:hint="eastAsia" w:ascii="Times New Roman" w:hAnsi="Times New Roman" w:eastAsia="Times New Roman" w:cs="Times New Roman"/>
      <w:color w:val="000000"/>
      <w:sz w:val="24"/>
      <w:lang w:val="en-US" w:eastAsia="zh-CN" w:bidi="ar-SA"/>
    </w:rPr>
  </w:style>
  <w:style w:type="paragraph" w:customStyle="1" w:styleId="14">
    <w:name w:val="xl24"/>
    <w:basedOn w:val="1"/>
    <w:qFormat/>
    <w:uiPriority w:val="0"/>
    <w:pPr>
      <w:widowControl/>
      <w:pBdr>
        <w:bottom w:val="single" w:color="000000" w:sz="4" w:space="0"/>
        <w:right w:val="single" w:color="000000" w:sz="4" w:space="0"/>
      </w:pBdr>
      <w:spacing w:before="100" w:beforeAutospacing="1" w:after="100" w:afterAutospacing="1"/>
      <w:jc w:val="center"/>
    </w:pPr>
    <w:rPr>
      <w:kern w:val="0"/>
      <w:szCs w:val="21"/>
    </w:rPr>
  </w:style>
  <w:style w:type="character" w:customStyle="1" w:styleId="15">
    <w:name w:val="批注框文本 Char"/>
    <w:basedOn w:val="10"/>
    <w:link w:val="5"/>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7" Type="http://schemas.openxmlformats.org/officeDocument/2006/relationships/fontTable" Target="fontTable.xml"/><Relationship Id="rId76" Type="http://schemas.openxmlformats.org/officeDocument/2006/relationships/numbering" Target="numbering.xml"/><Relationship Id="rId75" Type="http://schemas.openxmlformats.org/officeDocument/2006/relationships/customXml" Target="../customXml/item1.xml"/><Relationship Id="rId74" Type="http://schemas.openxmlformats.org/officeDocument/2006/relationships/image" Target="media/image69.jpeg"/><Relationship Id="rId73" Type="http://schemas.openxmlformats.org/officeDocument/2006/relationships/image" Target="media/image68.jpeg"/><Relationship Id="rId72" Type="http://schemas.openxmlformats.org/officeDocument/2006/relationships/image" Target="media/image67.jpeg"/><Relationship Id="rId71" Type="http://schemas.openxmlformats.org/officeDocument/2006/relationships/image" Target="media/image66.jpeg"/><Relationship Id="rId70" Type="http://schemas.openxmlformats.org/officeDocument/2006/relationships/image" Target="media/image65.jpeg"/><Relationship Id="rId7" Type="http://schemas.openxmlformats.org/officeDocument/2006/relationships/image" Target="media/image2.png"/><Relationship Id="rId69" Type="http://schemas.openxmlformats.org/officeDocument/2006/relationships/image" Target="media/image64.jpeg"/><Relationship Id="rId68" Type="http://schemas.openxmlformats.org/officeDocument/2006/relationships/image" Target="media/image63.jpeg"/><Relationship Id="rId67" Type="http://schemas.openxmlformats.org/officeDocument/2006/relationships/image" Target="media/image62.jpeg"/><Relationship Id="rId66" Type="http://schemas.openxmlformats.org/officeDocument/2006/relationships/image" Target="media/image61.jpeg"/><Relationship Id="rId65" Type="http://schemas.openxmlformats.org/officeDocument/2006/relationships/image" Target="media/image60.jpeg"/><Relationship Id="rId64" Type="http://schemas.openxmlformats.org/officeDocument/2006/relationships/image" Target="media/image59.jpeg"/><Relationship Id="rId63" Type="http://schemas.openxmlformats.org/officeDocument/2006/relationships/image" Target="media/image58.jpeg"/><Relationship Id="rId62" Type="http://schemas.openxmlformats.org/officeDocument/2006/relationships/image" Target="media/image57.jpeg"/><Relationship Id="rId61" Type="http://schemas.openxmlformats.org/officeDocument/2006/relationships/image" Target="media/image56.jpeg"/><Relationship Id="rId60" Type="http://schemas.openxmlformats.org/officeDocument/2006/relationships/image" Target="media/image55.jpeg"/><Relationship Id="rId6" Type="http://schemas.openxmlformats.org/officeDocument/2006/relationships/image" Target="media/image1.png"/><Relationship Id="rId59" Type="http://schemas.openxmlformats.org/officeDocument/2006/relationships/image" Target="media/image54.jpeg"/><Relationship Id="rId58" Type="http://schemas.openxmlformats.org/officeDocument/2006/relationships/image" Target="media/image53.jpeg"/><Relationship Id="rId57" Type="http://schemas.openxmlformats.org/officeDocument/2006/relationships/image" Target="media/image52.jpeg"/><Relationship Id="rId56" Type="http://schemas.openxmlformats.org/officeDocument/2006/relationships/image" Target="media/image51.jpeg"/><Relationship Id="rId55" Type="http://schemas.openxmlformats.org/officeDocument/2006/relationships/image" Target="media/image50.jpeg"/><Relationship Id="rId54" Type="http://schemas.openxmlformats.org/officeDocument/2006/relationships/image" Target="media/image49.jpeg"/><Relationship Id="rId53" Type="http://schemas.openxmlformats.org/officeDocument/2006/relationships/image" Target="media/image48.jpe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jpe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1026"/>
    <customShpInfo spid="_x0000_s10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68</Pages>
  <Words>2945</Words>
  <Characters>16793</Characters>
  <Lines>139</Lines>
  <Paragraphs>39</Paragraphs>
  <TotalTime>1</TotalTime>
  <ScaleCrop>false</ScaleCrop>
  <LinksUpToDate>false</LinksUpToDate>
  <CharactersWithSpaces>19699</CharactersWithSpaces>
  <Application>WPS Office_10.1.0.7346_F1E327BC-269C-435d-A152-05C5408002CA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2017-08-04T01:13:00Z</dcterms:created>
  <dc:creator>123</dc:creator>
  <cp:lastModifiedBy>zxy</cp:lastModifiedBy>
  <cp:lastPrinted>2018-02-09T11:20:00Z</cp:lastPrinted>
  <dcterms:modified xsi:type="dcterms:W3CDTF">2018-05-15T08:40:13Z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2052-10.1.0.7346</vt:lpwstr>
  </property>
</Properties>
</file>